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3" w:after="163"/>
        <w:ind w:firstLine="880"/>
        <w:rPr>
          <w:rFonts w:ascii="黑体" w:eastAsia="黑体"/>
          <w:sz w:val="44"/>
          <w:szCs w:val="44"/>
        </w:rPr>
      </w:pPr>
      <w:bookmarkStart w:id="0" w:name="_Hlk23428318"/>
    </w:p>
    <w:p>
      <w:pPr>
        <w:spacing w:before="163" w:after="163"/>
      </w:pPr>
    </w:p>
    <w:p>
      <w:pPr>
        <w:spacing w:before="163" w:after="163"/>
      </w:pPr>
    </w:p>
    <w:p>
      <w:pPr>
        <w:spacing w:before="163" w:after="163"/>
      </w:pPr>
    </w:p>
    <w:p>
      <w:pPr>
        <w:pStyle w:val="31"/>
      </w:pPr>
      <w:bookmarkStart w:id="1" w:name="_Hlk23428379"/>
      <w:r>
        <w:rPr>
          <w:rFonts w:hint="eastAsia"/>
        </w:rPr>
        <w:t>城乡居民社保费微信缴纳操作手册</w:t>
      </w:r>
    </w:p>
    <w:p>
      <w:pPr>
        <w:pStyle w:val="31"/>
      </w:pPr>
      <w:r>
        <w:rPr>
          <w:rFonts w:hint="eastAsia"/>
        </w:rPr>
        <w:t>V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.0</w:t>
      </w:r>
    </w:p>
    <w:p>
      <w:pPr>
        <w:spacing w:before="163" w:after="163"/>
      </w:pPr>
    </w:p>
    <w:p>
      <w:pPr>
        <w:spacing w:before="163" w:after="163"/>
      </w:pPr>
    </w:p>
    <w:p>
      <w:pPr>
        <w:spacing w:before="163" w:after="163"/>
      </w:pPr>
    </w:p>
    <w:p>
      <w:pPr>
        <w:spacing w:before="163" w:after="163"/>
      </w:pPr>
    </w:p>
    <w:p>
      <w:pPr>
        <w:spacing w:before="163" w:after="163"/>
      </w:pPr>
    </w:p>
    <w:p>
      <w:pPr>
        <w:spacing w:before="163" w:after="163"/>
      </w:pPr>
    </w:p>
    <w:tbl>
      <w:tblPr>
        <w:tblStyle w:val="20"/>
        <w:tblW w:w="8522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94"/>
        <w:gridCol w:w="1943"/>
        <w:gridCol w:w="1795"/>
        <w:gridCol w:w="279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994" w:type="dxa"/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文档敏感性定义</w:t>
            </w:r>
          </w:p>
        </w:tc>
        <w:tc>
          <w:tcPr>
            <w:tcW w:w="6528" w:type="dxa"/>
            <w:gridSpan w:val="3"/>
            <w:vAlign w:val="center"/>
          </w:tcPr>
          <w:p>
            <w:pPr>
              <w:pStyle w:val="32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4" w:type="dxa"/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编写人</w:t>
            </w:r>
          </w:p>
        </w:tc>
        <w:tc>
          <w:tcPr>
            <w:tcW w:w="1943" w:type="dxa"/>
            <w:tcBorders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周文</w:t>
            </w:r>
          </w:p>
        </w:tc>
        <w:tc>
          <w:tcPr>
            <w:tcW w:w="179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编写日期</w:t>
            </w:r>
          </w:p>
        </w:tc>
        <w:tc>
          <w:tcPr>
            <w:tcW w:w="2790" w:type="dxa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ind w:left="240" w:right="240"/>
              <w:rPr>
                <w:rFonts w:hint="eastAsia" w:eastAsia="宋体"/>
                <w:lang w:val="en-US" w:eastAsia="zh-CN"/>
              </w:rPr>
            </w:pPr>
            <w:r>
              <w:rPr>
                <w:rFonts w:hint="eastAsia"/>
              </w:rPr>
              <w:t>202</w:t>
            </w:r>
            <w:r>
              <w:rPr>
                <w:rFonts w:hint="eastAsia"/>
                <w:lang w:val="en-US" w:eastAsia="zh-CN"/>
              </w:rPr>
              <w:t>2</w:t>
            </w:r>
            <w:r>
              <w:t>-</w:t>
            </w:r>
            <w:r>
              <w:rPr>
                <w:rFonts w:hint="eastAsia"/>
                <w:lang w:val="en-US" w:eastAsia="zh-CN"/>
              </w:rPr>
              <w:t>09</w:t>
            </w:r>
            <w:r>
              <w:t>-</w:t>
            </w:r>
            <w:r>
              <w:rPr>
                <w:rFonts w:hint="eastAsia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4" w:type="dxa"/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审核人</w:t>
            </w:r>
          </w:p>
        </w:tc>
        <w:tc>
          <w:tcPr>
            <w:tcW w:w="1943" w:type="dxa"/>
            <w:tcBorders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795" w:type="dxa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审核日期</w:t>
            </w:r>
          </w:p>
        </w:tc>
        <w:tc>
          <w:tcPr>
            <w:tcW w:w="2790" w:type="dxa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4" w:type="dxa"/>
            <w:tcBorders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公开范围</w:t>
            </w:r>
          </w:p>
        </w:tc>
        <w:tc>
          <w:tcPr>
            <w:tcW w:w="652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公开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4" w:type="dxa"/>
            <w:tcBorders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建设单位</w:t>
            </w:r>
          </w:p>
        </w:tc>
        <w:tc>
          <w:tcPr>
            <w:tcW w:w="652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4" w:type="dxa"/>
            <w:tcBorders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承建单位</w:t>
            </w:r>
          </w:p>
        </w:tc>
        <w:tc>
          <w:tcPr>
            <w:tcW w:w="652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4" w:type="dxa"/>
            <w:tcBorders>
              <w:righ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  <w:r>
              <w:rPr>
                <w:rFonts w:hint="eastAsia"/>
              </w:rPr>
              <w:t>监理单位</w:t>
            </w:r>
          </w:p>
        </w:tc>
        <w:tc>
          <w:tcPr>
            <w:tcW w:w="6528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pStyle w:val="32"/>
              <w:ind w:left="240" w:right="240"/>
            </w:pPr>
          </w:p>
        </w:tc>
      </w:tr>
    </w:tbl>
    <w:p>
      <w:pPr>
        <w:pStyle w:val="31"/>
      </w:pPr>
      <w:bookmarkStart w:id="2" w:name="_Toc284107628"/>
    </w:p>
    <w:p>
      <w:pPr>
        <w:spacing w:before="163" w:after="163"/>
      </w:pPr>
    </w:p>
    <w:p>
      <w:pPr>
        <w:pStyle w:val="31"/>
        <w:jc w:val="both"/>
      </w:pPr>
    </w:p>
    <w:p>
      <w:pPr>
        <w:pStyle w:val="31"/>
      </w:pPr>
      <w:r>
        <w:br w:type="page"/>
      </w:r>
      <w:r>
        <w:rPr>
          <w:rFonts w:hint="eastAsia"/>
        </w:rPr>
        <w:t>文档信息</w:t>
      </w:r>
      <w:bookmarkEnd w:id="2"/>
    </w:p>
    <w:p>
      <w:pPr>
        <w:pStyle w:val="33"/>
        <w:spacing w:before="163" w:after="163"/>
        <w:rPr>
          <w:szCs w:val="52"/>
        </w:rPr>
      </w:pPr>
      <w:r>
        <w:rPr>
          <w:rFonts w:hint="eastAsia"/>
        </w:rPr>
        <w:t>修订状况</w:t>
      </w:r>
    </w:p>
    <w:tbl>
      <w:tblPr>
        <w:tblStyle w:val="20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1"/>
        <w:gridCol w:w="1241"/>
        <w:gridCol w:w="2446"/>
        <w:gridCol w:w="1133"/>
        <w:gridCol w:w="1467"/>
        <w:gridCol w:w="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shd w:val="clear" w:color="auto" w:fill="DDDDDD"/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章节编号</w:t>
            </w:r>
          </w:p>
        </w:tc>
        <w:tc>
          <w:tcPr>
            <w:tcW w:w="1241" w:type="dxa"/>
            <w:shd w:val="clear" w:color="auto" w:fill="DDDDDD"/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章节名称</w:t>
            </w:r>
          </w:p>
        </w:tc>
        <w:tc>
          <w:tcPr>
            <w:tcW w:w="2446" w:type="dxa"/>
            <w:shd w:val="clear" w:color="auto" w:fill="DDDDDD"/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修订内容简述</w:t>
            </w:r>
          </w:p>
        </w:tc>
        <w:tc>
          <w:tcPr>
            <w:tcW w:w="1133" w:type="dxa"/>
            <w:shd w:val="clear" w:color="auto" w:fill="DDDDDD"/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修订人</w:t>
            </w:r>
          </w:p>
        </w:tc>
        <w:tc>
          <w:tcPr>
            <w:tcW w:w="1467" w:type="dxa"/>
            <w:shd w:val="clear" w:color="auto" w:fill="DDDDDD"/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修订日期</w:t>
            </w:r>
          </w:p>
        </w:tc>
        <w:tc>
          <w:tcPr>
            <w:tcW w:w="994" w:type="dxa"/>
            <w:shd w:val="clear" w:color="auto" w:fill="DDDDDD"/>
            <w:vAlign w:val="center"/>
          </w:tcPr>
          <w:p>
            <w:pPr>
              <w:pStyle w:val="34"/>
            </w:pPr>
            <w:r>
              <w:rPr>
                <w:rFonts w:hint="eastAsia"/>
              </w:rPr>
              <w:t>批准人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241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2446" w:type="dxa"/>
            <w:vAlign w:val="center"/>
          </w:tcPr>
          <w:p>
            <w:pPr>
              <w:pStyle w:val="31"/>
              <w:ind w:firstLine="400"/>
              <w:rPr>
                <w:rFonts w:asciiTheme="minorEastAsia" w:hAnsiTheme="minorEastAsia" w:eastAsiaTheme="minorEastAsia"/>
                <w:b w:val="0"/>
                <w:bCs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b w:val="0"/>
                <w:bCs/>
                <w:sz w:val="18"/>
                <w:szCs w:val="18"/>
              </w:rPr>
              <w:t>城乡居民社保费微信缴纳操作手册</w:t>
            </w:r>
          </w:p>
        </w:tc>
        <w:tc>
          <w:tcPr>
            <w:tcW w:w="1133" w:type="dxa"/>
            <w:vAlign w:val="center"/>
          </w:tcPr>
          <w:p>
            <w:pPr>
              <w:pStyle w:val="32"/>
              <w:ind w:right="240"/>
              <w:rPr>
                <w:rFonts w:asciiTheme="minorEastAsia" w:hAnsiTheme="minorEastAsia" w:eastAsiaTheme="minorEastAsia"/>
                <w:sz w:val="18"/>
                <w:szCs w:val="18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周文</w:t>
            </w:r>
          </w:p>
        </w:tc>
        <w:tc>
          <w:tcPr>
            <w:tcW w:w="1467" w:type="dxa"/>
            <w:vAlign w:val="center"/>
          </w:tcPr>
          <w:p>
            <w:pPr>
              <w:pStyle w:val="32"/>
              <w:ind w:right="240"/>
              <w:jc w:val="center"/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/>
                <w:sz w:val="18"/>
                <w:szCs w:val="18"/>
              </w:rPr>
              <w:t>202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2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-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09</w:t>
            </w:r>
            <w:r>
              <w:rPr>
                <w:rFonts w:asciiTheme="minorEastAsia" w:hAnsiTheme="minorEastAsia" w:eastAsiaTheme="minorEastAsia"/>
                <w:sz w:val="18"/>
                <w:szCs w:val="18"/>
              </w:rPr>
              <w:t>-</w:t>
            </w:r>
            <w:r>
              <w:rPr>
                <w:rFonts w:hint="eastAsia" w:asciiTheme="minorEastAsia" w:hAnsiTheme="minorEastAsia" w:eastAsiaTheme="minorEastAsia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4" w:type="dxa"/>
            <w:vAlign w:val="center"/>
          </w:tcPr>
          <w:p>
            <w:pPr>
              <w:pStyle w:val="32"/>
              <w:ind w:left="240" w:right="24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41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241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2446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133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467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994" w:type="dxa"/>
            <w:vAlign w:val="center"/>
          </w:tcPr>
          <w:p>
            <w:pPr>
              <w:pStyle w:val="32"/>
              <w:ind w:left="240" w:right="240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241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241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2446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133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1467" w:type="dxa"/>
            <w:vAlign w:val="center"/>
          </w:tcPr>
          <w:p>
            <w:pPr>
              <w:pStyle w:val="32"/>
              <w:ind w:left="240" w:right="240"/>
            </w:pPr>
          </w:p>
        </w:tc>
        <w:tc>
          <w:tcPr>
            <w:tcW w:w="994" w:type="dxa"/>
            <w:vAlign w:val="center"/>
          </w:tcPr>
          <w:p>
            <w:pPr>
              <w:pStyle w:val="32"/>
              <w:ind w:left="240" w:right="240"/>
            </w:pPr>
          </w:p>
        </w:tc>
      </w:tr>
    </w:tbl>
    <w:p>
      <w:pPr>
        <w:spacing w:before="163" w:after="163"/>
      </w:pPr>
    </w:p>
    <w:p>
      <w:pPr>
        <w:spacing w:before="163" w:after="163"/>
      </w:pPr>
    </w:p>
    <w:p>
      <w:pPr>
        <w:spacing w:before="163" w:after="163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0" w:footer="1134" w:gutter="0"/>
          <w:pgNumType w:start="1"/>
          <w:cols w:space="425" w:num="1"/>
          <w:docGrid w:type="lines" w:linePitch="326" w:charSpace="0"/>
        </w:sectPr>
      </w:pPr>
    </w:p>
    <w:p>
      <w:pPr>
        <w:pStyle w:val="31"/>
        <w:rPr>
          <w:szCs w:val="52"/>
        </w:rPr>
      </w:pPr>
      <w:r>
        <w:rPr>
          <w:rFonts w:hint="eastAsia"/>
        </w:rPr>
        <w:t>目录</w:t>
      </w:r>
    </w:p>
    <w:sdt>
      <w:sdtPr>
        <w:rPr>
          <w:rFonts w:ascii="Times New Roman" w:hAnsi="Times New Roman" w:eastAsia="宋体" w:cs="Times New Roman"/>
          <w:color w:val="auto"/>
          <w:kern w:val="2"/>
          <w:sz w:val="24"/>
          <w:szCs w:val="22"/>
          <w:lang w:val="zh-CN"/>
        </w:rPr>
        <w:id w:val="975493613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70"/>
            <w:spacing w:before="163" w:after="163"/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</w:pPr>
        </w:p>
        <w:p>
          <w:pPr>
            <w:pStyle w:val="17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HYPERLINK \l _Toc680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1 微信缴费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PAGEREF _Toc680 \h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4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end"/>
          </w:r>
        </w:p>
        <w:p>
          <w:pPr>
            <w:pStyle w:val="18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instrText xml:space="preserve"> HYPERLINK \l _Toc6474 </w:instrText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1.1 城乡居民两险微信支付渠道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PAGEREF _Toc6474 \h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4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instrText xml:space="preserve"> HYPERLINK \l _Toc23108 </w:instrText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1.1.1 业务描述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PAGEREF _Toc23108 \h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4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instrText xml:space="preserve"> HYPERLINK \l _Toc18278 </w:instrText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1.1.2 业务流程（我要缴）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PAGEREF _Toc18278 \h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4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</w:pP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begin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instrText xml:space="preserve"> HYPERLINK \l _Toc29630 </w:instrText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1.1.3 业务流程（我要查）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ab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begin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instrText xml:space="preserve"> PAGEREF _Toc29630 \h </w:instrTex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separate"/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t>20</w:t>
          </w:r>
          <w:r>
            <w:rPr>
              <w:rFonts w:hint="eastAsia" w:ascii="华文仿宋" w:hAnsi="华文仿宋" w:eastAsia="华文仿宋" w:cs="华文仿宋"/>
              <w:i w:val="0"/>
              <w:iCs w:val="0"/>
              <w:sz w:val="28"/>
              <w:szCs w:val="28"/>
            </w:rPr>
            <w:fldChar w:fldCharType="end"/>
          </w: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end"/>
          </w:r>
        </w:p>
        <w:p>
          <w:pPr>
            <w:spacing w:before="163" w:after="163"/>
            <w:ind w:firstLine="482"/>
          </w:pPr>
          <w:r>
            <w:rPr>
              <w:rFonts w:hint="eastAsia" w:ascii="华文仿宋" w:hAnsi="华文仿宋" w:eastAsia="华文仿宋" w:cs="华文仿宋"/>
              <w:bCs/>
              <w:i w:val="0"/>
              <w:iCs w:val="0"/>
              <w:sz w:val="28"/>
              <w:szCs w:val="28"/>
              <w:lang w:val="zh-CN"/>
            </w:rPr>
            <w:fldChar w:fldCharType="end"/>
          </w:r>
        </w:p>
      </w:sdtContent>
    </w:sdt>
    <w:p>
      <w:pPr>
        <w:spacing w:before="163" w:after="163"/>
        <w:sectPr>
          <w:pgSz w:w="11906" w:h="16838"/>
          <w:pgMar w:top="1440" w:right="1800" w:bottom="1440" w:left="1800" w:header="850" w:footer="1134" w:gutter="0"/>
          <w:cols w:space="425" w:num="1"/>
          <w:docGrid w:type="lines" w:linePitch="326" w:charSpace="0"/>
        </w:sectPr>
      </w:pPr>
    </w:p>
    <w:p>
      <w:pPr>
        <w:pStyle w:val="2"/>
      </w:pPr>
      <w:bookmarkStart w:id="3" w:name="_Toc680"/>
      <w:r>
        <w:rPr>
          <w:rFonts w:hint="eastAsia"/>
        </w:rPr>
        <w:t>微信缴费</w:t>
      </w:r>
      <w:bookmarkEnd w:id="3"/>
    </w:p>
    <w:p>
      <w:pPr>
        <w:pStyle w:val="3"/>
        <w:spacing w:after="163"/>
      </w:pPr>
      <w:bookmarkStart w:id="4" w:name="_Toc6474"/>
      <w:r>
        <w:rPr>
          <w:rFonts w:hint="eastAsia"/>
        </w:rPr>
        <w:t>城乡</w:t>
      </w:r>
      <w:r>
        <w:t>居民</w:t>
      </w:r>
      <w:r>
        <w:rPr>
          <w:rFonts w:hint="eastAsia"/>
        </w:rPr>
        <w:t>两</w:t>
      </w:r>
      <w:r>
        <w:t>险</w:t>
      </w:r>
      <w:r>
        <w:rPr>
          <w:rFonts w:hint="eastAsia"/>
        </w:rPr>
        <w:t>微信</w:t>
      </w:r>
      <w:r>
        <w:t>支付</w:t>
      </w:r>
      <w:r>
        <w:rPr>
          <w:rFonts w:hint="eastAsia"/>
        </w:rPr>
        <w:t>渠道</w:t>
      </w:r>
      <w:bookmarkEnd w:id="4"/>
    </w:p>
    <w:p>
      <w:pPr>
        <w:pStyle w:val="4"/>
        <w:tabs>
          <w:tab w:val="clear" w:pos="1440"/>
        </w:tabs>
        <w:spacing w:line="360" w:lineRule="auto"/>
        <w:rPr>
          <w:sz w:val="28"/>
          <w:szCs w:val="28"/>
        </w:rPr>
      </w:pPr>
      <w:bookmarkStart w:id="5" w:name="_Toc25764284"/>
      <w:bookmarkStart w:id="6" w:name="_Toc23108"/>
      <w:r>
        <w:rPr>
          <w:rFonts w:hint="eastAsia"/>
          <w:sz w:val="28"/>
          <w:szCs w:val="28"/>
        </w:rPr>
        <w:t>业务描述</w:t>
      </w:r>
      <w:bookmarkEnd w:id="5"/>
      <w:bookmarkEnd w:id="6"/>
    </w:p>
    <w:p>
      <w:pPr>
        <w:spacing w:before="163" w:after="163"/>
        <w:ind w:firstLine="56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为拓展城乡居民两险多元化缴费方式，依照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国家税务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总局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的指示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，江西省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税务局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在2019年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9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月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1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日正式开通微信支付缴费方式</w:t>
      </w:r>
      <w:r>
        <w:rPr>
          <w:rFonts w:hint="eastAsia" w:ascii="华文仿宋" w:hAnsi="华文仿宋" w:eastAsia="华文仿宋"/>
          <w:color w:val="000000"/>
          <w:sz w:val="24"/>
          <w:szCs w:val="24"/>
        </w:rPr>
        <w:t>，</w:t>
      </w:r>
      <w:r>
        <w:rPr>
          <w:rFonts w:ascii="华文仿宋" w:hAnsi="华文仿宋" w:eastAsia="华文仿宋"/>
          <w:color w:val="000000"/>
          <w:sz w:val="24"/>
          <w:szCs w:val="24"/>
        </w:rPr>
        <w:t>从而更多程度的方便</w:t>
      </w:r>
      <w:r>
        <w:rPr>
          <w:rFonts w:hint="eastAsia" w:ascii="华文仿宋" w:hAnsi="华文仿宋" w:eastAsia="华文仿宋"/>
          <w:color w:val="000000"/>
          <w:sz w:val="24"/>
          <w:szCs w:val="24"/>
        </w:rPr>
        <w:t>城乡</w:t>
      </w:r>
      <w:r>
        <w:rPr>
          <w:rFonts w:ascii="华文仿宋" w:hAnsi="华文仿宋" w:eastAsia="华文仿宋"/>
          <w:color w:val="000000"/>
          <w:sz w:val="24"/>
          <w:szCs w:val="24"/>
        </w:rPr>
        <w:t>居民缴纳</w:t>
      </w:r>
      <w:r>
        <w:rPr>
          <w:rFonts w:hint="eastAsia" w:ascii="华文仿宋" w:hAnsi="华文仿宋" w:eastAsia="华文仿宋"/>
          <w:color w:val="000000"/>
          <w:sz w:val="24"/>
          <w:szCs w:val="24"/>
        </w:rPr>
        <w:t>社保</w:t>
      </w:r>
      <w:r>
        <w:rPr>
          <w:rFonts w:ascii="华文仿宋" w:hAnsi="华文仿宋" w:eastAsia="华文仿宋"/>
          <w:color w:val="000000"/>
          <w:sz w:val="24"/>
          <w:szCs w:val="24"/>
        </w:rPr>
        <w:t>两险</w:t>
      </w:r>
      <w:r>
        <w:rPr>
          <w:rFonts w:hint="eastAsia" w:ascii="华文仿宋" w:hAnsi="华文仿宋" w:eastAsia="华文仿宋"/>
          <w:color w:val="000000"/>
          <w:sz w:val="24"/>
          <w:szCs w:val="24"/>
        </w:rPr>
        <w:t>。</w:t>
      </w:r>
    </w:p>
    <w:p>
      <w:pPr>
        <w:pStyle w:val="4"/>
        <w:tabs>
          <w:tab w:val="clear" w:pos="1440"/>
        </w:tabs>
        <w:rPr>
          <w:sz w:val="28"/>
          <w:szCs w:val="28"/>
        </w:rPr>
      </w:pPr>
      <w:bookmarkStart w:id="7" w:name="_Toc25764285"/>
      <w:bookmarkStart w:id="8" w:name="_Toc18278"/>
      <w:r>
        <w:rPr>
          <w:rFonts w:hint="eastAsia"/>
          <w:sz w:val="28"/>
          <w:szCs w:val="28"/>
        </w:rPr>
        <w:t>业务流程</w:t>
      </w:r>
      <w:bookmarkEnd w:id="7"/>
      <w:r>
        <w:rPr>
          <w:rFonts w:hint="eastAsia"/>
          <w:sz w:val="28"/>
          <w:szCs w:val="28"/>
        </w:rPr>
        <w:t>（我</w:t>
      </w:r>
      <w:r>
        <w:rPr>
          <w:sz w:val="28"/>
          <w:szCs w:val="28"/>
        </w:rPr>
        <w:t>要缴</w:t>
      </w:r>
      <w:r>
        <w:rPr>
          <w:rFonts w:hint="eastAsia"/>
          <w:sz w:val="28"/>
          <w:szCs w:val="28"/>
        </w:rPr>
        <w:t>）</w:t>
      </w:r>
      <w:bookmarkEnd w:id="8"/>
    </w:p>
    <w:p>
      <w:pPr>
        <w:pStyle w:val="5"/>
        <w:rPr>
          <w:rStyle w:val="45"/>
          <w:b/>
          <w:sz w:val="24"/>
          <w:szCs w:val="24"/>
        </w:rPr>
      </w:pPr>
      <w:r>
        <w:rPr>
          <w:rStyle w:val="45"/>
          <w:rFonts w:hint="eastAsia"/>
          <w:b/>
          <w:sz w:val="24"/>
          <w:szCs w:val="24"/>
        </w:rPr>
        <w:t>搜索</w:t>
      </w:r>
      <w:r>
        <w:rPr>
          <w:rStyle w:val="45"/>
          <w:b/>
          <w:sz w:val="24"/>
          <w:szCs w:val="24"/>
        </w:rPr>
        <w:t>微信公众号（</w:t>
      </w:r>
      <w:r>
        <w:rPr>
          <w:rStyle w:val="45"/>
          <w:rFonts w:hint="eastAsia"/>
          <w:b/>
          <w:sz w:val="24"/>
          <w:szCs w:val="24"/>
        </w:rPr>
        <w:t>江西省</w:t>
      </w:r>
      <w:r>
        <w:rPr>
          <w:rStyle w:val="45"/>
          <w:b/>
          <w:sz w:val="24"/>
          <w:szCs w:val="24"/>
        </w:rPr>
        <w:t>税务局）</w:t>
      </w:r>
    </w:p>
    <w:p>
      <w:pPr>
        <w:autoSpaceDE w:val="0"/>
        <w:autoSpaceDN w:val="0"/>
        <w:adjustRightInd w:val="0"/>
        <w:spacing w:before="163" w:after="163" w:line="600" w:lineRule="exact"/>
        <w:ind w:firstLine="560"/>
        <w:jc w:val="left"/>
        <w:rPr>
          <w:rFonts w:ascii="华文仿宋" w:hAnsi="华文仿宋" w:eastAsia="华文仿宋" w:cs="仿宋_GB2312"/>
          <w:kern w:val="0"/>
          <w:sz w:val="28"/>
          <w:szCs w:val="28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在微信搜索公众号“江西省税务局”，关注并进入公众号，如下图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所示：</w:t>
      </w:r>
    </w:p>
    <w:p>
      <w:pPr>
        <w:spacing w:before="163" w:after="163"/>
        <w:jc w:val="center"/>
      </w:pPr>
      <w:r>
        <w:rPr>
          <w:rFonts w:ascii="宋体" w:hAnsi="宋体" w:cs="仿宋_GB2312"/>
          <w:kern w:val="0"/>
        </w:rPr>
        <w:drawing>
          <wp:inline distT="0" distB="0" distL="0" distR="0">
            <wp:extent cx="2000250" cy="3463290"/>
            <wp:effectExtent l="0" t="0" r="0" b="0"/>
            <wp:docPr id="2" name="图片 2" descr="1570584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70584328(1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910" cy="346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6"/>
        </w:tabs>
        <w:ind w:left="864" w:hanging="864"/>
        <w:outlineLvl w:val="9"/>
        <w:rPr>
          <w:rFonts w:hint="eastAsia"/>
          <w:sz w:val="24"/>
          <w:szCs w:val="24"/>
        </w:rPr>
      </w:pP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1.1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税费</w:t>
      </w:r>
      <w:r>
        <w:rPr>
          <w:b/>
          <w:bCs/>
          <w:sz w:val="24"/>
          <w:szCs w:val="24"/>
        </w:rPr>
        <w:t>服务</w:t>
      </w:r>
    </w:p>
    <w:p>
      <w:pPr>
        <w:spacing w:before="163" w:after="163"/>
        <w:ind w:firstLine="560"/>
        <w:rPr>
          <w:rFonts w:ascii="华文仿宋" w:hAnsi="华文仿宋" w:eastAsia="华文仿宋" w:cs="仿宋_GB2312"/>
          <w:b/>
          <w:kern w:val="0"/>
          <w:sz w:val="24"/>
          <w:szCs w:val="24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点击“税费服务”,开始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办理业务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，根据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自己需要缴纳的险种自行选择，如下图：</w:t>
      </w:r>
    </w:p>
    <w:p>
      <w:pPr>
        <w:spacing w:before="163" w:after="163"/>
        <w:ind w:firstLine="442"/>
        <w:jc w:val="center"/>
        <w:rPr>
          <w:rFonts w:cs="仿宋_GB2312" w:asciiTheme="minorEastAsia" w:hAnsiTheme="minorEastAsia" w:eastAsiaTheme="minorEastAsia"/>
          <w:b/>
          <w:kern w:val="0"/>
          <w:sz w:val="22"/>
        </w:rPr>
      </w:pPr>
      <w:r>
        <w:rPr>
          <w:rFonts w:cs="仿宋_GB2312" w:asciiTheme="minorEastAsia" w:hAnsiTheme="minorEastAsia" w:eastAsiaTheme="minorEastAsia"/>
          <w:b/>
          <w:kern w:val="0"/>
          <w:sz w:val="22"/>
        </w:rPr>
        <w:drawing>
          <wp:inline distT="0" distB="0" distL="0" distR="0">
            <wp:extent cx="2316480" cy="38334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481" cy="384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442"/>
        <w:jc w:val="center"/>
        <w:rPr>
          <w:rFonts w:cs="仿宋_GB2312" w:asciiTheme="minorEastAsia" w:hAnsiTheme="minorEastAsia" w:eastAsiaTheme="minorEastAsia"/>
          <w:b/>
          <w:kern w:val="0"/>
          <w:sz w:val="22"/>
        </w:rPr>
      </w:pPr>
    </w:p>
    <w:p>
      <w:pPr>
        <w:pStyle w:val="5"/>
        <w:numPr>
          <w:ilvl w:val="0"/>
          <w:numId w:val="0"/>
        </w:numPr>
        <w:ind w:left="864" w:hanging="864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1.1.2.</w:t>
      </w:r>
      <w:r>
        <w:rPr>
          <w:rFonts w:hint="eastAsia"/>
          <w:sz w:val="24"/>
          <w:szCs w:val="24"/>
          <w:lang w:val="en-US" w:eastAsia="zh-CN"/>
        </w:rPr>
        <w:t>2</w:t>
      </w:r>
      <w:r>
        <w:rPr>
          <w:rFonts w:hint="eastAsia"/>
          <w:sz w:val="24"/>
          <w:szCs w:val="24"/>
        </w:rPr>
        <w:t xml:space="preserve"> 城乡</w:t>
      </w:r>
      <w:r>
        <w:rPr>
          <w:sz w:val="24"/>
          <w:szCs w:val="24"/>
        </w:rPr>
        <w:t>居民</w:t>
      </w:r>
      <w:r>
        <w:rPr>
          <w:rFonts w:hint="eastAsia"/>
          <w:sz w:val="24"/>
          <w:szCs w:val="24"/>
        </w:rPr>
        <w:t>缴纳养老</w:t>
      </w:r>
      <w:r>
        <w:rPr>
          <w:sz w:val="24"/>
          <w:szCs w:val="24"/>
        </w:rPr>
        <w:t>保险</w:t>
      </w:r>
      <w:r>
        <w:rPr>
          <w:rFonts w:hint="eastAsia"/>
          <w:sz w:val="24"/>
          <w:szCs w:val="24"/>
          <w:lang w:eastAsia="zh-CN"/>
        </w:rPr>
        <w:t>（本年自主缴费）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点击“养老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保险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费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缴纳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”此模块为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：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正常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按照年度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险种、金额进行社保费缴纳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，如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下图：</w:t>
      </w:r>
    </w:p>
    <w:p>
      <w:pPr>
        <w:spacing w:before="163" w:after="163"/>
        <w:ind w:firstLine="560"/>
        <w:rPr>
          <w:rFonts w:ascii="华文仿宋" w:hAnsi="华文仿宋" w:eastAsia="华文仿宋"/>
          <w:sz w:val="28"/>
          <w:szCs w:val="28"/>
        </w:rPr>
      </w:pPr>
    </w:p>
    <w:p>
      <w:pPr>
        <w:spacing w:before="163" w:after="163"/>
        <w:ind w:firstLine="560"/>
        <w:rPr>
          <w:rFonts w:ascii="华文仿宋" w:hAnsi="华文仿宋" w:eastAsia="华文仿宋"/>
          <w:sz w:val="28"/>
          <w:szCs w:val="28"/>
        </w:rPr>
      </w:pPr>
    </w:p>
    <w:p>
      <w:pPr>
        <w:spacing w:before="163" w:after="163"/>
        <w:jc w:val="center"/>
        <w:rPr>
          <w:rFonts w:hint="eastAsia" w:ascii="华文仿宋" w:hAnsi="华文仿宋" w:eastAsia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/>
          <w:sz w:val="28"/>
          <w:szCs w:val="28"/>
          <w:lang w:eastAsia="zh-CN"/>
        </w:rPr>
        <w:drawing>
          <wp:inline distT="0" distB="0" distL="114300" distR="114300">
            <wp:extent cx="2590800" cy="4284345"/>
            <wp:effectExtent l="0" t="0" r="0" b="1905"/>
            <wp:docPr id="1" name="图片 1" descr="166201795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620179559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2.1</w:t>
      </w:r>
      <w:r>
        <w:rPr>
          <w:rFonts w:hint="eastAsia"/>
          <w:b/>
          <w:bCs/>
          <w:sz w:val="24"/>
          <w:szCs w:val="24"/>
        </w:rPr>
        <w:t xml:space="preserve"> 输入</w:t>
      </w:r>
      <w:r>
        <w:rPr>
          <w:b/>
          <w:bCs/>
          <w:sz w:val="24"/>
          <w:szCs w:val="24"/>
        </w:rPr>
        <w:t>人员信息</w:t>
      </w:r>
    </w:p>
    <w:p>
      <w:pPr>
        <w:autoSpaceDE w:val="0"/>
        <w:autoSpaceDN w:val="0"/>
        <w:adjustRightInd w:val="0"/>
        <w:spacing w:before="163" w:after="163" w:line="600" w:lineRule="exact"/>
        <w:ind w:firstLine="560"/>
        <w:jc w:val="left"/>
        <w:rPr>
          <w:rFonts w:ascii="华文仿宋" w:hAnsi="华文仿宋" w:eastAsia="华文仿宋" w:cs="仿宋_GB2312"/>
          <w:kern w:val="0"/>
          <w:sz w:val="24"/>
          <w:szCs w:val="24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输入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身份证号和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姓名（此时可修改缴费人身份证号码、姓名帮他人代缴），</w:t>
      </w:r>
      <w:r>
        <w:rPr>
          <w:rFonts w:hint="eastAsia" w:ascii="华文仿宋" w:hAnsi="华文仿宋" w:eastAsia="华文仿宋" w:cs="华文仿宋"/>
          <w:sz w:val="24"/>
          <w:szCs w:val="24"/>
        </w:rPr>
        <w:t>养老保险目前只支持本年度缴纳，点击微信缴费即可跳转打微信支付页面，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如果有多个参保机构的，需要再次选择对应的参保机构再进行缴费，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如下图：</w:t>
      </w:r>
    </w:p>
    <w:p>
      <w:pPr>
        <w:spacing w:before="163" w:after="163"/>
        <w:jc w:val="center"/>
      </w:pPr>
      <w:r>
        <w:drawing>
          <wp:inline distT="0" distB="0" distL="114300" distR="114300">
            <wp:extent cx="2088515" cy="3543935"/>
            <wp:effectExtent l="0" t="0" r="6985" b="18415"/>
            <wp:docPr id="4" name="图片 4" descr="1662018075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620180759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848485" cy="3458845"/>
            <wp:effectExtent l="0" t="0" r="18415" b="825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</w:pP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2.2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选择档次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 w:cs="仿宋_GB2312"/>
          <w:kern w:val="0"/>
          <w:sz w:val="28"/>
          <w:szCs w:val="28"/>
        </w:rPr>
      </w:pPr>
      <w:r>
        <w:tab/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选择对应的档次和金额后，点击按钮（缴费）进行缴费，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如下图：</w:t>
      </w:r>
    </w:p>
    <w:p>
      <w:pPr>
        <w:spacing w:before="163" w:after="163"/>
        <w:ind w:firstLine="0" w:firstLineChars="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650365" cy="3239135"/>
            <wp:effectExtent l="0" t="0" r="6985" b="18415"/>
            <wp:docPr id="13" name="图片 13" descr="15668024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566802489(1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rFonts w:ascii="宋体" w:hAnsi="宋体"/>
        </w:rPr>
      </w:pP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2.3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选择支付</w:t>
      </w:r>
      <w:r>
        <w:rPr>
          <w:b/>
          <w:bCs/>
          <w:sz w:val="24"/>
          <w:szCs w:val="24"/>
        </w:rPr>
        <w:t>方式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rPr>
          <w:rFonts w:ascii="宋体" w:hAnsi="宋体"/>
        </w:rPr>
        <w:drawing>
          <wp:inline distT="0" distB="0" distL="0" distR="0">
            <wp:extent cx="2085975" cy="2219325"/>
            <wp:effectExtent l="0" t="0" r="0" b="0"/>
            <wp:docPr id="14" name="图片 14" descr="156680224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66802246(1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96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6"/>
        </w:tabs>
        <w:outlineLvl w:val="9"/>
        <w:rPr>
          <w:rFonts w:hint="eastAsia" w:asciiTheme="minorEastAsia" w:hAnsiTheme="minorEastAsia" w:eastAsiaTheme="minorEastAsia"/>
          <w:sz w:val="24"/>
          <w:szCs w:val="24"/>
        </w:rPr>
      </w:pP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2.4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inorEastAsia" w:hAnsiTheme="minorEastAsia" w:eastAsiaTheme="minorEastAsia"/>
          <w:b/>
          <w:bCs/>
          <w:sz w:val="24"/>
          <w:szCs w:val="24"/>
        </w:rPr>
        <w:t>输入支付密码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114300" distR="114300">
            <wp:extent cx="2000250" cy="2105025"/>
            <wp:effectExtent l="0" t="0" r="0" b="9525"/>
            <wp:docPr id="4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1106"/>
        </w:tabs>
        <w:ind w:left="864" w:hanging="864"/>
        <w:outlineLvl w:val="9"/>
        <w:rPr>
          <w:rFonts w:hint="eastAsia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left" w:pos="1106"/>
        </w:tabs>
        <w:ind w:left="864" w:hanging="864"/>
        <w:outlineLvl w:val="9"/>
        <w:rPr>
          <w:rFonts w:hint="eastAsia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left" w:pos="1106"/>
        </w:tabs>
        <w:ind w:left="864" w:hanging="864"/>
        <w:outlineLvl w:val="9"/>
        <w:rPr>
          <w:rFonts w:hint="eastAsia"/>
          <w:b/>
          <w:bCs/>
          <w:sz w:val="24"/>
          <w:szCs w:val="24"/>
        </w:rPr>
      </w:pPr>
    </w:p>
    <w:p>
      <w:pPr>
        <w:numPr>
          <w:ilvl w:val="0"/>
          <w:numId w:val="0"/>
        </w:numPr>
        <w:tabs>
          <w:tab w:val="left" w:pos="1106"/>
        </w:tabs>
        <w:outlineLvl w:val="9"/>
        <w:rPr>
          <w:rFonts w:hint="eastAsia"/>
          <w:b/>
          <w:bCs/>
          <w:sz w:val="24"/>
          <w:szCs w:val="24"/>
        </w:rPr>
      </w:pP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2.5</w:t>
      </w:r>
      <w:r>
        <w:rPr>
          <w:rFonts w:hint="eastAsia" w:cs="仿宋_GB2312" w:asciiTheme="minorEastAsia" w:hAnsiTheme="minorEastAsia" w:eastAsiaTheme="minorEastAsia"/>
          <w:b/>
          <w:bCs/>
          <w:sz w:val="24"/>
          <w:szCs w:val="24"/>
        </w:rPr>
        <w:t xml:space="preserve"> </w:t>
      </w:r>
      <w:r>
        <w:rPr>
          <w:rFonts w:cs="仿宋_GB2312" w:asciiTheme="minorEastAsia" w:hAnsiTheme="minorEastAsia" w:eastAsiaTheme="minorEastAsia"/>
          <w:b/>
          <w:bCs/>
          <w:sz w:val="24"/>
          <w:szCs w:val="24"/>
        </w:rPr>
        <w:t>支付</w:t>
      </w:r>
      <w:r>
        <w:rPr>
          <w:rFonts w:hint="eastAsia" w:cs="仿宋_GB2312" w:asciiTheme="minorEastAsia" w:hAnsiTheme="minorEastAsia" w:eastAsiaTheme="minorEastAsia"/>
          <w:b/>
          <w:bCs/>
          <w:sz w:val="24"/>
          <w:szCs w:val="24"/>
        </w:rPr>
        <w:t>成功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rPr>
          <w:rFonts w:ascii="宋体" w:hAnsi="宋体"/>
        </w:rPr>
        <w:drawing>
          <wp:inline distT="0" distB="0" distL="0" distR="0">
            <wp:extent cx="2227580" cy="2714625"/>
            <wp:effectExtent l="0" t="0" r="1270" b="9525"/>
            <wp:docPr id="16" name="图片 16" descr="15668020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66802033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758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</w:p>
    <w:p>
      <w:pPr>
        <w:numPr>
          <w:ilvl w:val="0"/>
          <w:numId w:val="0"/>
        </w:numPr>
        <w:tabs>
          <w:tab w:val="left" w:pos="1106"/>
        </w:tabs>
        <w:outlineLvl w:val="9"/>
        <w:rPr>
          <w:rFonts w:hint="eastAsia"/>
          <w:sz w:val="24"/>
          <w:szCs w:val="24"/>
        </w:rPr>
      </w:pPr>
    </w:p>
    <w:p>
      <w:pPr>
        <w:pStyle w:val="5"/>
        <w:numPr>
          <w:ilvl w:val="0"/>
          <w:numId w:val="0"/>
        </w:numPr>
        <w:ind w:left="864" w:hanging="864"/>
        <w:rPr>
          <w:rFonts w:hint="eastAsia" w:eastAsia="宋体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1.1.2.3 城乡</w:t>
      </w:r>
      <w:r>
        <w:rPr>
          <w:sz w:val="24"/>
          <w:szCs w:val="24"/>
        </w:rPr>
        <w:t>居民</w:t>
      </w:r>
      <w:r>
        <w:rPr>
          <w:rFonts w:hint="eastAsia"/>
          <w:sz w:val="24"/>
          <w:szCs w:val="24"/>
        </w:rPr>
        <w:t>缴纳养老</w:t>
      </w:r>
      <w:r>
        <w:rPr>
          <w:sz w:val="24"/>
          <w:szCs w:val="24"/>
        </w:rPr>
        <w:t>保险</w:t>
      </w:r>
      <w:r>
        <w:rPr>
          <w:rFonts w:hint="eastAsia"/>
          <w:sz w:val="24"/>
          <w:szCs w:val="24"/>
          <w:lang w:eastAsia="zh-CN"/>
        </w:rPr>
        <w:t>（核定缴费）</w:t>
      </w:r>
    </w:p>
    <w:p>
      <w:pPr>
        <w:spacing w:before="163" w:after="163"/>
        <w:ind w:firstLine="420" w:firstLineChars="0"/>
        <w:jc w:val="left"/>
        <w:rPr>
          <w:rFonts w:ascii="华文仿宋" w:hAnsi="华文仿宋" w:eastAsia="华文仿宋" w:cs="仿宋_GB2312"/>
          <w:kern w:val="0"/>
          <w:sz w:val="24"/>
          <w:szCs w:val="24"/>
        </w:rPr>
      </w:pPr>
      <w:r>
        <w:rPr>
          <w:rFonts w:ascii="华文仿宋" w:hAnsi="华文仿宋" w:eastAsia="华文仿宋" w:cs="仿宋_GB2312"/>
          <w:kern w:val="0"/>
          <w:sz w:val="24"/>
          <w:szCs w:val="24"/>
        </w:rPr>
        <w:t>点击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“养老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保险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费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缴纳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（</w:t>
      </w:r>
      <w:r>
        <w:rPr>
          <w:rFonts w:hint="eastAsia" w:ascii="华文仿宋" w:hAnsi="华文仿宋" w:eastAsia="华文仿宋" w:cs="仿宋_GB2312"/>
          <w:kern w:val="0"/>
          <w:sz w:val="24"/>
          <w:szCs w:val="24"/>
          <w:lang w:eastAsia="zh-CN"/>
        </w:rPr>
        <w:t>核定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缴费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）”此模块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为：非正常缴纳，比如补缴，差额补缴通过社保局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传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过来的数据进行按照年度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险种、金额进行社保费缴纳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，如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下图：</w:t>
      </w:r>
    </w:p>
    <w:p>
      <w:pPr>
        <w:spacing w:before="163" w:after="163"/>
        <w:ind w:firstLine="420" w:firstLineChars="0"/>
        <w:jc w:val="center"/>
        <w:rPr>
          <w:rFonts w:hint="eastAsia" w:ascii="华文仿宋" w:hAnsi="华文仿宋" w:eastAsia="华文仿宋"/>
          <w:sz w:val="28"/>
          <w:szCs w:val="28"/>
          <w:lang w:eastAsia="zh-CN"/>
        </w:rPr>
      </w:pPr>
      <w:r>
        <w:rPr>
          <w:rFonts w:hint="eastAsia" w:ascii="华文仿宋" w:hAnsi="华文仿宋" w:eastAsia="华文仿宋"/>
          <w:sz w:val="28"/>
          <w:szCs w:val="28"/>
          <w:lang w:eastAsia="zh-CN"/>
        </w:rPr>
        <w:drawing>
          <wp:inline distT="0" distB="0" distL="114300" distR="114300">
            <wp:extent cx="2590800" cy="4284345"/>
            <wp:effectExtent l="0" t="0" r="0" b="1905"/>
            <wp:docPr id="18" name="图片 18" descr="1662017955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620179559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3.1</w:t>
      </w:r>
      <w:r>
        <w:rPr>
          <w:rFonts w:hint="eastAsia"/>
          <w:b/>
          <w:bCs/>
          <w:sz w:val="24"/>
          <w:szCs w:val="24"/>
        </w:rPr>
        <w:t xml:space="preserve"> 输入</w:t>
      </w:r>
      <w:r>
        <w:rPr>
          <w:b/>
          <w:bCs/>
          <w:sz w:val="24"/>
          <w:szCs w:val="24"/>
        </w:rPr>
        <w:t>人员信息</w:t>
      </w:r>
    </w:p>
    <w:p>
      <w:pPr>
        <w:autoSpaceDE w:val="0"/>
        <w:autoSpaceDN w:val="0"/>
        <w:adjustRightInd w:val="0"/>
        <w:spacing w:before="163" w:after="163" w:line="600" w:lineRule="exact"/>
        <w:ind w:firstLine="560"/>
        <w:jc w:val="left"/>
        <w:rPr>
          <w:rFonts w:ascii="华文仿宋" w:hAnsi="华文仿宋" w:eastAsia="华文仿宋" w:cs="仿宋_GB2312"/>
          <w:kern w:val="0"/>
          <w:sz w:val="24"/>
          <w:szCs w:val="24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输入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身份证号和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姓名（此时可修改缴费人身份证号码、姓名帮他人代缴），</w:t>
      </w:r>
      <w:r>
        <w:rPr>
          <w:rFonts w:hint="eastAsia" w:ascii="华文仿宋" w:hAnsi="华文仿宋" w:eastAsia="华文仿宋" w:cs="华文仿宋"/>
          <w:sz w:val="24"/>
          <w:szCs w:val="24"/>
        </w:rPr>
        <w:t>养老保险目前只支持本年度缴纳，点击微信缴费即可跳转打微信支付页面，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如果有多个参保机构的，需要再次选择对应的参保机构再进行缴费，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如下图：</w:t>
      </w:r>
    </w:p>
    <w:p>
      <w:pPr>
        <w:spacing w:before="163" w:after="163"/>
        <w:ind w:firstLine="420" w:firstLineChars="0"/>
        <w:jc w:val="center"/>
        <w:rPr>
          <w:rFonts w:hint="eastAsia" w:ascii="华文仿宋" w:hAnsi="华文仿宋" w:eastAsia="华文仿宋"/>
          <w:sz w:val="28"/>
          <w:szCs w:val="28"/>
          <w:lang w:eastAsia="zh-CN"/>
        </w:rPr>
      </w:pPr>
      <w:r>
        <w:drawing>
          <wp:inline distT="0" distB="0" distL="0" distR="0">
            <wp:extent cx="2184400" cy="3686175"/>
            <wp:effectExtent l="0" t="0" r="6350" b="9525"/>
            <wp:docPr id="33" name="图片 33" descr="C:\Users\ADMINI~1\AppData\Local\Temp\15750090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~1\AppData\Local\Temp\1575009006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440" cy="37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3.2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  <w:t>自动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 xml:space="preserve">缴费档次和金额 </w:t>
      </w:r>
    </w:p>
    <w:p>
      <w:pPr>
        <w:spacing w:before="163" w:after="163"/>
        <w:ind w:firstLine="0" w:firstLineChars="0"/>
      </w:pPr>
      <w:r>
        <w:tab/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核对信息，</w:t>
      </w:r>
      <w:r>
        <w:rPr>
          <w:rFonts w:hint="eastAsia" w:ascii="华文仿宋" w:hAnsi="华文仿宋" w:eastAsia="华文仿宋" w:cs="华文仿宋"/>
          <w:kern w:val="0"/>
          <w:sz w:val="24"/>
          <w:szCs w:val="24"/>
          <w:lang w:eastAsia="zh-CN"/>
        </w:rPr>
        <w:t>自动带出</w:t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缴费档次和金额，并通过微信缴费，此处带出的缴费金额不可更改（因为是</w:t>
      </w:r>
      <w:r>
        <w:rPr>
          <w:rFonts w:hint="eastAsia" w:ascii="华文仿宋" w:hAnsi="华文仿宋" w:eastAsia="华文仿宋" w:cs="华文仿宋"/>
          <w:kern w:val="0"/>
          <w:sz w:val="24"/>
          <w:szCs w:val="24"/>
          <w:lang w:eastAsia="zh-CN"/>
        </w:rPr>
        <w:t>人社</w:t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核定传替到税务来，税务按照征缴计划征收），如下图：</w:t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3.3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选择支付</w:t>
      </w:r>
      <w:r>
        <w:rPr>
          <w:b/>
          <w:bCs/>
          <w:sz w:val="24"/>
          <w:szCs w:val="24"/>
        </w:rPr>
        <w:t>方式</w:t>
      </w:r>
    </w:p>
    <w:p>
      <w:pPr>
        <w:spacing w:before="163" w:after="163"/>
        <w:ind w:firstLine="56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如下图</w:t>
      </w:r>
      <w:r>
        <w:rPr>
          <w:rFonts w:ascii="华文仿宋" w:hAnsi="华文仿宋" w:eastAsia="华文仿宋"/>
          <w:sz w:val="28"/>
          <w:szCs w:val="28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114300" distR="114300">
            <wp:extent cx="2171700" cy="2305050"/>
            <wp:effectExtent l="0" t="0" r="0" b="0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  <w:ind w:firstLine="0" w:firstLineChars="0"/>
        <w:rPr>
          <w:rFonts w:ascii="华文仿宋" w:hAnsi="华文仿宋" w:eastAsia="华文仿宋"/>
          <w:sz w:val="28"/>
          <w:szCs w:val="28"/>
        </w:rPr>
      </w:pP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3.4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inorEastAsia" w:hAnsiTheme="minorEastAsia" w:eastAsiaTheme="minorEastAsia"/>
          <w:b/>
          <w:bCs/>
          <w:sz w:val="24"/>
          <w:szCs w:val="24"/>
        </w:rPr>
        <w:t>输入支付密码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0" distR="0">
            <wp:extent cx="1933575" cy="2028825"/>
            <wp:effectExtent l="0" t="0" r="9525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42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1.1.2.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3.5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支付成功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rPr>
          <w:rFonts w:ascii="宋体" w:hAnsi="宋体"/>
        </w:rPr>
        <w:drawing>
          <wp:inline distT="0" distB="0" distL="0" distR="0">
            <wp:extent cx="1938655" cy="2362200"/>
            <wp:effectExtent l="0" t="0" r="4445" b="0"/>
            <wp:docPr id="36" name="图片 36" descr="15668020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1566802033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970" cy="23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 w:hanging="864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</w:rPr>
        <w:t>1.1.2.</w:t>
      </w:r>
      <w:r>
        <w:rPr>
          <w:rFonts w:hint="eastAsia"/>
          <w:sz w:val="24"/>
          <w:szCs w:val="24"/>
          <w:lang w:val="en-US" w:eastAsia="zh-CN"/>
        </w:rPr>
        <w:t>4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城乡</w:t>
      </w:r>
      <w:r>
        <w:rPr>
          <w:sz w:val="24"/>
          <w:szCs w:val="24"/>
        </w:rPr>
        <w:t>居民缴纳医疗保险</w:t>
      </w:r>
      <w:r>
        <w:rPr>
          <w:rFonts w:hint="eastAsia"/>
          <w:sz w:val="24"/>
          <w:szCs w:val="24"/>
          <w:lang w:eastAsia="zh-CN"/>
        </w:rPr>
        <w:t>（本年自主缴费）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选择</w:t>
      </w:r>
      <w:r>
        <w:rPr>
          <w:rFonts w:ascii="华文仿宋" w:hAnsi="华文仿宋" w:eastAsia="华文仿宋"/>
          <w:sz w:val="24"/>
          <w:szCs w:val="24"/>
        </w:rPr>
        <w:t>医疗保险，如下图：</w:t>
      </w:r>
    </w:p>
    <w:p>
      <w:pPr>
        <w:spacing w:before="163" w:after="163"/>
        <w:ind w:firstLine="44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05990" cy="3590925"/>
            <wp:effectExtent l="0" t="0" r="3810" b="9525"/>
            <wp:docPr id="8" name="图片 8" descr="1662018325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620183259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1.1.2.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4.1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>选择医疗</w:t>
      </w:r>
      <w:r>
        <w:rPr>
          <w:rFonts w:cs="仿宋_GB2312" w:asciiTheme="majorEastAsia" w:hAnsiTheme="majorEastAsia" w:eastAsiaTheme="majorEastAsia"/>
          <w:b/>
          <w:bCs/>
          <w:sz w:val="24"/>
          <w:szCs w:val="24"/>
        </w:rPr>
        <w:t>保险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>费</w:t>
      </w:r>
      <w:r>
        <w:rPr>
          <w:rFonts w:cs="仿宋_GB2312" w:asciiTheme="majorEastAsia" w:hAnsiTheme="majorEastAsia" w:eastAsiaTheme="majorEastAsia"/>
          <w:b/>
          <w:bCs/>
          <w:sz w:val="24"/>
          <w:szCs w:val="24"/>
        </w:rPr>
        <w:t>缴纳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根据国家医保局、财政部和税务总局要求，省医保局、省财政厅和省税务局每年联合发文公布城乡居民基本医疗保险费</w:t>
      </w: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14:textFill>
            <w14:solidFill>
              <w14:schemeClr w14:val="tx1"/>
            </w14:solidFill>
          </w14:textFill>
        </w:rPr>
        <w:t>缴费标准</w:t>
      </w: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2023年度</w:t>
      </w: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:lang w:eastAsia="zh-CN"/>
          <w14:textFill>
            <w14:solidFill>
              <w14:schemeClr w14:val="tx1"/>
            </w14:solidFill>
          </w14:textFill>
        </w:rPr>
        <w:t>缴费标准为</w:t>
      </w: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350元</w:t>
      </w:r>
      <w:r>
        <w:rPr>
          <w:rFonts w:hint="eastAsia" w:ascii="华文仿宋" w:hAnsi="华文仿宋" w:eastAsia="华文仿宋" w:cs="华文仿宋"/>
          <w:color w:val="000000" w:themeColor="text1"/>
          <w:sz w:val="24"/>
          <w:szCs w:val="24"/>
          <w:highlight w:val="none"/>
          <w:lang w:val="en" w:eastAsia="zh-CN"/>
          <w14:textFill>
            <w14:solidFill>
              <w14:schemeClr w14:val="tx1"/>
            </w14:solidFill>
          </w14:textFill>
        </w:rPr>
        <w:t>/人，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如下图：</w:t>
      </w:r>
    </w:p>
    <w:p>
      <w:pPr>
        <w:spacing w:before="163" w:after="163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25320" cy="3209925"/>
            <wp:effectExtent l="0" t="0" r="17780" b="9525"/>
            <wp:docPr id="37" name="图片 37" descr="1662019434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620194347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1.1.2.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4.2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 w:cs="仿宋_GB2312"/>
          <w:b/>
          <w:bCs/>
          <w:sz w:val="24"/>
          <w:szCs w:val="24"/>
        </w:rPr>
        <w:t>输入人员</w:t>
      </w:r>
      <w:r>
        <w:rPr>
          <w:rFonts w:cs="仿宋_GB2312"/>
          <w:b/>
          <w:bCs/>
          <w:sz w:val="24"/>
          <w:szCs w:val="24"/>
        </w:rPr>
        <w:t>信息</w:t>
      </w:r>
    </w:p>
    <w:p>
      <w:pPr>
        <w:autoSpaceDE w:val="0"/>
        <w:autoSpaceDN w:val="0"/>
        <w:adjustRightInd w:val="0"/>
        <w:spacing w:before="163" w:after="163" w:line="600" w:lineRule="exact"/>
        <w:ind w:firstLine="560"/>
        <w:jc w:val="left"/>
        <w:rPr>
          <w:rFonts w:ascii="华文仿宋" w:hAnsi="华文仿宋" w:eastAsia="华文仿宋" w:cs="仿宋_GB2312"/>
          <w:kern w:val="0"/>
          <w:sz w:val="28"/>
          <w:szCs w:val="28"/>
        </w:rPr>
      </w:pPr>
      <w:r>
        <w:rPr>
          <w:rFonts w:hint="eastAsia" w:ascii="华文仿宋" w:hAnsi="华文仿宋" w:eastAsia="华文仿宋" w:cs="仿宋_GB2312"/>
          <w:kern w:val="0"/>
          <w:sz w:val="28"/>
          <w:szCs w:val="28"/>
        </w:rPr>
        <w:t>输入</w:t>
      </w:r>
      <w:r>
        <w:rPr>
          <w:rFonts w:ascii="华文仿宋" w:hAnsi="华文仿宋" w:eastAsia="华文仿宋" w:cs="仿宋_GB2312"/>
          <w:kern w:val="0"/>
          <w:sz w:val="28"/>
          <w:szCs w:val="28"/>
        </w:rPr>
        <w:t>身份证号和</w:t>
      </w:r>
      <w:r>
        <w:rPr>
          <w:rFonts w:hint="eastAsia" w:ascii="华文仿宋" w:hAnsi="华文仿宋" w:eastAsia="华文仿宋" w:cs="仿宋_GB2312"/>
          <w:kern w:val="0"/>
          <w:sz w:val="28"/>
          <w:szCs w:val="28"/>
        </w:rPr>
        <w:t>姓名（此时可修改缴费人身份证号码、姓名），</w:t>
      </w:r>
      <w:r>
        <w:rPr>
          <w:rFonts w:ascii="华文仿宋" w:hAnsi="华文仿宋" w:eastAsia="华文仿宋" w:cs="仿宋_GB2312"/>
          <w:kern w:val="0"/>
          <w:sz w:val="28"/>
          <w:szCs w:val="28"/>
        </w:rPr>
        <w:t>如下图：</w:t>
      </w:r>
    </w:p>
    <w:p>
      <w:pPr>
        <w:spacing w:before="163" w:after="163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453005" cy="4116070"/>
            <wp:effectExtent l="0" t="0" r="4445" b="17780"/>
            <wp:docPr id="3" name="图片 3" descr="1662082330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6208233086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1.1.2.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4.3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  <w:t>自动带出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 xml:space="preserve">缴费档次和金额 </w:t>
      </w:r>
    </w:p>
    <w:p>
      <w:pPr>
        <w:spacing w:before="163" w:after="163"/>
        <w:ind w:firstLine="0" w:firstLineChars="0"/>
      </w:pPr>
      <w:r>
        <w:tab/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核对信息，</w:t>
      </w:r>
      <w:r>
        <w:rPr>
          <w:rFonts w:hint="eastAsia" w:ascii="华文仿宋" w:hAnsi="华文仿宋" w:eastAsia="华文仿宋" w:cs="华文仿宋"/>
          <w:kern w:val="0"/>
          <w:sz w:val="24"/>
          <w:szCs w:val="24"/>
          <w:lang w:eastAsia="zh-CN"/>
        </w:rPr>
        <w:t>自动带出</w:t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缴费档次和金额，并通过微信缴费，此处带出的缴费金额不可更改（因为是医保局核定传替到税务来，税务按照征缴计划征收），如下图：</w:t>
      </w:r>
    </w:p>
    <w:p>
      <w:pPr>
        <w:spacing w:before="163" w:after="163"/>
        <w:jc w:val="center"/>
      </w:pPr>
      <w:r>
        <w:drawing>
          <wp:inline distT="0" distB="0" distL="114300" distR="114300">
            <wp:extent cx="2343150" cy="4067175"/>
            <wp:effectExtent l="0" t="0" r="0" b="952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1.1.2.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4.4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 xml:space="preserve">点击“缴费” 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jc w:val="center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drawing>
          <wp:inline distT="0" distB="0" distL="114300" distR="114300">
            <wp:extent cx="2100580" cy="3372485"/>
            <wp:effectExtent l="0" t="0" r="13970" b="18415"/>
            <wp:docPr id="5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0580" cy="337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1.1.2.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4.5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>输入</w:t>
      </w:r>
      <w:r>
        <w:rPr>
          <w:rFonts w:cs="仿宋_GB2312" w:asciiTheme="majorEastAsia" w:hAnsiTheme="majorEastAsia" w:eastAsiaTheme="majorEastAsia"/>
          <w:b/>
          <w:bCs/>
          <w:sz w:val="24"/>
          <w:szCs w:val="24"/>
        </w:rPr>
        <w:t>支付密码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 xml:space="preserve"> 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napToGrid w:val="0"/>
          <w:kern w:val="0"/>
          <w:sz w:val="24"/>
          <w:szCs w:val="24"/>
        </w:rPr>
        <w:t>如下图</w:t>
      </w:r>
      <w:r>
        <w:rPr>
          <w:rFonts w:ascii="华文仿宋" w:hAnsi="华文仿宋" w:eastAsia="华文仿宋"/>
          <w:snapToGrid w:val="0"/>
          <w:kern w:val="0"/>
          <w:sz w:val="24"/>
          <w:szCs w:val="24"/>
        </w:rPr>
        <w:t>：</w:t>
      </w:r>
    </w:p>
    <w:p>
      <w:pPr>
        <w:spacing w:before="163" w:after="163"/>
        <w:jc w:val="center"/>
      </w:pPr>
      <w:r>
        <w:drawing>
          <wp:inline distT="0" distB="0" distL="114300" distR="114300">
            <wp:extent cx="2019300" cy="3162300"/>
            <wp:effectExtent l="0" t="0" r="0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1.1.2.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4.6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>支付</w:t>
      </w:r>
      <w:r>
        <w:rPr>
          <w:rFonts w:cs="仿宋_GB2312" w:asciiTheme="majorEastAsia" w:hAnsiTheme="majorEastAsia" w:eastAsiaTheme="majorEastAsia"/>
          <w:b/>
          <w:bCs/>
          <w:sz w:val="24"/>
          <w:szCs w:val="24"/>
        </w:rPr>
        <w:t>成功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 xml:space="preserve"> </w:t>
      </w:r>
    </w:p>
    <w:p>
      <w:pPr>
        <w:spacing w:before="163" w:after="163"/>
        <w:ind w:firstLine="0" w:firstLineChars="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jc w:val="center"/>
      </w:pPr>
      <w:r>
        <w:rPr>
          <w:rFonts w:ascii="宋体" w:hAnsi="宋体"/>
        </w:rPr>
        <w:drawing>
          <wp:inline distT="0" distB="0" distL="0" distR="0">
            <wp:extent cx="2462530" cy="3000375"/>
            <wp:effectExtent l="0" t="0" r="0" b="0"/>
            <wp:docPr id="23" name="图片 23" descr="15668020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566802033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84628" cy="3027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 w:hanging="864"/>
        <w:rPr>
          <w:rFonts w:hint="eastAsia"/>
          <w:sz w:val="24"/>
          <w:szCs w:val="24"/>
          <w:lang w:eastAsia="zh-CN"/>
        </w:rPr>
      </w:pPr>
      <w:bookmarkStart w:id="9" w:name="_Toc25764286"/>
      <w:r>
        <w:rPr>
          <w:rFonts w:hint="eastAsia"/>
          <w:sz w:val="24"/>
          <w:szCs w:val="24"/>
        </w:rPr>
        <w:t>1.1.2.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城乡</w:t>
      </w:r>
      <w:r>
        <w:rPr>
          <w:sz w:val="24"/>
          <w:szCs w:val="24"/>
        </w:rPr>
        <w:t>居民缴纳医疗保险</w:t>
      </w:r>
      <w:r>
        <w:rPr>
          <w:rFonts w:hint="eastAsia"/>
          <w:sz w:val="24"/>
          <w:szCs w:val="24"/>
          <w:lang w:eastAsia="zh-CN"/>
        </w:rPr>
        <w:t>（核定缴费）</w:t>
      </w:r>
    </w:p>
    <w:p>
      <w:pPr>
        <w:rPr>
          <w:rFonts w:ascii="华文仿宋" w:hAnsi="华文仿宋" w:eastAsia="华文仿宋" w:cs="仿宋_GB2312"/>
          <w:kern w:val="0"/>
          <w:sz w:val="24"/>
          <w:szCs w:val="24"/>
        </w:rPr>
      </w:pPr>
      <w:r>
        <w:rPr>
          <w:rFonts w:ascii="华文仿宋" w:hAnsi="华文仿宋" w:eastAsia="华文仿宋" w:cs="仿宋_GB2312"/>
          <w:kern w:val="0"/>
          <w:sz w:val="24"/>
          <w:szCs w:val="24"/>
        </w:rPr>
        <w:t>点击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“养老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保险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费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缴纳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（</w:t>
      </w:r>
      <w:r>
        <w:rPr>
          <w:rFonts w:hint="eastAsia" w:ascii="华文仿宋" w:hAnsi="华文仿宋" w:eastAsia="华文仿宋" w:cs="仿宋_GB2312"/>
          <w:kern w:val="0"/>
          <w:sz w:val="24"/>
          <w:szCs w:val="24"/>
          <w:lang w:eastAsia="zh-CN"/>
        </w:rPr>
        <w:t>核定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缴费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）”此模块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为：非正常缴纳，比如补缴，差额补缴通过社保局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传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过来的数据进行按照年度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、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险种、金额进行社保费缴纳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，如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下图：</w:t>
      </w:r>
    </w:p>
    <w:p>
      <w:pPr>
        <w:jc w:val="center"/>
      </w:pPr>
      <w:r>
        <w:drawing>
          <wp:inline distT="0" distB="0" distL="114300" distR="114300">
            <wp:extent cx="2204720" cy="3602990"/>
            <wp:effectExtent l="0" t="0" r="5080" b="16510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04720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5.1</w:t>
      </w:r>
      <w:r>
        <w:rPr>
          <w:rFonts w:hint="eastAsia"/>
          <w:b/>
          <w:bCs/>
          <w:sz w:val="24"/>
          <w:szCs w:val="24"/>
        </w:rPr>
        <w:t xml:space="preserve"> 输入</w:t>
      </w:r>
      <w:r>
        <w:rPr>
          <w:b/>
          <w:bCs/>
          <w:sz w:val="24"/>
          <w:szCs w:val="24"/>
        </w:rPr>
        <w:t>人员信息</w:t>
      </w:r>
    </w:p>
    <w:p>
      <w:pPr>
        <w:autoSpaceDE w:val="0"/>
        <w:autoSpaceDN w:val="0"/>
        <w:adjustRightInd w:val="0"/>
        <w:spacing w:before="163" w:after="163" w:line="600" w:lineRule="exact"/>
        <w:ind w:firstLine="560"/>
        <w:jc w:val="left"/>
        <w:rPr>
          <w:rFonts w:ascii="华文仿宋" w:hAnsi="华文仿宋" w:eastAsia="华文仿宋" w:cs="仿宋_GB2312"/>
          <w:kern w:val="0"/>
          <w:sz w:val="24"/>
          <w:szCs w:val="24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输入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身份证号和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姓名（此时可修改缴费人身份证号码、姓名帮他人代缴），</w:t>
      </w:r>
      <w:r>
        <w:rPr>
          <w:rFonts w:hint="eastAsia" w:ascii="华文仿宋" w:hAnsi="华文仿宋" w:eastAsia="华文仿宋" w:cs="华文仿宋"/>
          <w:sz w:val="24"/>
          <w:szCs w:val="24"/>
        </w:rPr>
        <w:t>养老保险目前只支持本年度缴纳，点击微信缴费即可跳转打微信支付页面，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如果有多个参保机构的，需要再次选择对应的参保机构再进行缴费，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如下图：</w:t>
      </w:r>
    </w:p>
    <w:p>
      <w:pPr>
        <w:spacing w:before="163" w:after="163"/>
        <w:ind w:firstLine="420" w:firstLineChars="0"/>
        <w:jc w:val="center"/>
        <w:rPr>
          <w:rFonts w:hint="eastAsia" w:ascii="华文仿宋" w:hAnsi="华文仿宋" w:eastAsia="华文仿宋"/>
          <w:sz w:val="28"/>
          <w:szCs w:val="28"/>
          <w:lang w:eastAsia="zh-CN"/>
        </w:rPr>
      </w:pPr>
      <w:r>
        <w:drawing>
          <wp:inline distT="0" distB="0" distL="0" distR="0">
            <wp:extent cx="2184400" cy="3686175"/>
            <wp:effectExtent l="0" t="0" r="6350" b="9525"/>
            <wp:docPr id="43" name="图片 43" descr="C:\Users\ADMINI~1\AppData\Local\Temp\15750090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C:\Users\ADMINI~1\AppData\Local\Temp\1575009006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5440" cy="373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cs="仿宋_GB2312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5.2</w:t>
      </w:r>
      <w:r>
        <w:rPr>
          <w:rFonts w:asciiTheme="majorEastAsia" w:hAnsiTheme="majorEastAsia" w:eastAsiaTheme="majorEastAsia"/>
          <w:b/>
          <w:bCs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/>
          <w:b/>
          <w:bCs/>
          <w:sz w:val="24"/>
          <w:szCs w:val="24"/>
          <w:lang w:eastAsia="zh-CN"/>
        </w:rPr>
        <w:t>自动</w:t>
      </w:r>
      <w:r>
        <w:rPr>
          <w:rFonts w:hint="eastAsia" w:cs="仿宋_GB2312" w:asciiTheme="majorEastAsia" w:hAnsiTheme="majorEastAsia" w:eastAsiaTheme="majorEastAsia"/>
          <w:b/>
          <w:bCs/>
          <w:sz w:val="24"/>
          <w:szCs w:val="24"/>
        </w:rPr>
        <w:t xml:space="preserve">缴费档次和金额 </w:t>
      </w:r>
    </w:p>
    <w:p>
      <w:pPr>
        <w:spacing w:before="163" w:after="163"/>
        <w:ind w:firstLine="0" w:firstLineChars="0"/>
      </w:pPr>
      <w:r>
        <w:tab/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核对信息，</w:t>
      </w:r>
      <w:r>
        <w:rPr>
          <w:rFonts w:hint="eastAsia" w:ascii="华文仿宋" w:hAnsi="华文仿宋" w:eastAsia="华文仿宋" w:cs="华文仿宋"/>
          <w:kern w:val="0"/>
          <w:sz w:val="24"/>
          <w:szCs w:val="24"/>
          <w:lang w:eastAsia="zh-CN"/>
        </w:rPr>
        <w:t>自动带出</w:t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缴费档次和金额，并通过微信缴费，此处带出的缴费金额不可更改（因为是</w:t>
      </w:r>
      <w:r>
        <w:rPr>
          <w:rFonts w:hint="eastAsia" w:ascii="华文仿宋" w:hAnsi="华文仿宋" w:eastAsia="华文仿宋" w:cs="华文仿宋"/>
          <w:kern w:val="0"/>
          <w:sz w:val="24"/>
          <w:szCs w:val="24"/>
          <w:lang w:eastAsia="zh-CN"/>
        </w:rPr>
        <w:t>人社</w:t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核定传替到税务来，税务按照征缴计划征收），如下图：</w:t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5.3</w:t>
      </w:r>
      <w:r>
        <w:rPr>
          <w:b/>
          <w:bCs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选择支付</w:t>
      </w:r>
      <w:r>
        <w:rPr>
          <w:b/>
          <w:bCs/>
          <w:sz w:val="24"/>
          <w:szCs w:val="24"/>
        </w:rPr>
        <w:t>方式</w:t>
      </w:r>
    </w:p>
    <w:p>
      <w:pPr>
        <w:spacing w:before="163" w:after="163"/>
        <w:ind w:firstLine="560"/>
        <w:rPr>
          <w:rFonts w:ascii="华文仿宋" w:hAnsi="华文仿宋" w:eastAsia="华文仿宋"/>
          <w:sz w:val="28"/>
          <w:szCs w:val="28"/>
        </w:rPr>
      </w:pPr>
      <w:r>
        <w:rPr>
          <w:rFonts w:hint="eastAsia" w:ascii="华文仿宋" w:hAnsi="华文仿宋" w:eastAsia="华文仿宋"/>
          <w:sz w:val="28"/>
          <w:szCs w:val="28"/>
        </w:rPr>
        <w:t>如下图</w:t>
      </w:r>
      <w:r>
        <w:rPr>
          <w:rFonts w:ascii="华文仿宋" w:hAnsi="华文仿宋" w:eastAsia="华文仿宋"/>
          <w:sz w:val="28"/>
          <w:szCs w:val="28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114300" distR="114300">
            <wp:extent cx="2171700" cy="2305050"/>
            <wp:effectExtent l="0" t="0" r="0" b="0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asciiTheme="minorEastAsia" w:hAnsiTheme="minorEastAsia" w:eastAsiaTheme="minorEastAsia"/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1.1.2.</w:t>
      </w:r>
      <w:r>
        <w:rPr>
          <w:rFonts w:hint="eastAsia"/>
          <w:b/>
          <w:bCs/>
          <w:sz w:val="24"/>
          <w:szCs w:val="24"/>
          <w:lang w:val="en-US" w:eastAsia="zh-CN"/>
        </w:rPr>
        <w:t>5.4</w:t>
      </w:r>
      <w:r>
        <w:rPr>
          <w:rFonts w:hint="eastAsia" w:asciiTheme="minorEastAsia" w:hAnsiTheme="minorEastAsia" w:eastAsiaTheme="minorEastAsia"/>
          <w:b/>
          <w:bCs/>
          <w:sz w:val="24"/>
          <w:szCs w:val="24"/>
        </w:rPr>
        <w:t xml:space="preserve"> </w:t>
      </w:r>
      <w:r>
        <w:rPr>
          <w:rFonts w:hint="eastAsia" w:cs="仿宋_GB2312" w:asciiTheme="minorEastAsia" w:hAnsiTheme="minorEastAsia" w:eastAsiaTheme="minorEastAsia"/>
          <w:b/>
          <w:bCs/>
          <w:sz w:val="24"/>
          <w:szCs w:val="24"/>
        </w:rPr>
        <w:t>输入支付密码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/>
          <w:sz w:val="28"/>
          <w:szCs w:val="28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ind w:firstLine="0" w:firstLineChars="0"/>
        <w:jc w:val="center"/>
        <w:rPr>
          <w:rFonts w:ascii="华文仿宋" w:hAnsi="华文仿宋" w:eastAsia="华文仿宋"/>
          <w:sz w:val="28"/>
          <w:szCs w:val="28"/>
        </w:rPr>
      </w:pPr>
      <w:r>
        <w:drawing>
          <wp:inline distT="0" distB="0" distL="114300" distR="114300">
            <wp:extent cx="2047875" cy="2095500"/>
            <wp:effectExtent l="0" t="0" r="9525" b="0"/>
            <wp:docPr id="4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tabs>
          <w:tab w:val="left" w:pos="1106"/>
        </w:tabs>
        <w:ind w:left="864" w:hanging="864"/>
        <w:outlineLvl w:val="4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1.1.2.</w:t>
      </w:r>
      <w:r>
        <w:rPr>
          <w:rFonts w:hint="eastAsia" w:hAnsi="宋体" w:cs="宋体"/>
          <w:b/>
          <w:bCs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.5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支付成功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/>
          <w:sz w:val="24"/>
          <w:szCs w:val="24"/>
        </w:rPr>
        <w:tab/>
      </w: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jc w:val="center"/>
        <w:rPr>
          <w:rFonts w:hint="eastAsia"/>
          <w:lang w:val="en-US" w:eastAsia="zh-CN"/>
        </w:rPr>
      </w:pPr>
      <w:r>
        <w:rPr>
          <w:rFonts w:ascii="宋体" w:hAnsi="宋体"/>
        </w:rPr>
        <w:drawing>
          <wp:inline distT="0" distB="0" distL="0" distR="0">
            <wp:extent cx="1938655" cy="2362200"/>
            <wp:effectExtent l="0" t="0" r="4445" b="0"/>
            <wp:docPr id="46" name="图片 46" descr="15668020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1566802033(1)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1970" cy="236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tabs>
          <w:tab w:val="clear" w:pos="1440"/>
        </w:tabs>
        <w:rPr>
          <w:sz w:val="28"/>
          <w:szCs w:val="28"/>
        </w:rPr>
      </w:pPr>
      <w:bookmarkStart w:id="10" w:name="_Toc29630"/>
      <w:r>
        <w:rPr>
          <w:rFonts w:hint="eastAsia"/>
          <w:sz w:val="28"/>
          <w:szCs w:val="28"/>
        </w:rPr>
        <w:t>业务</w:t>
      </w:r>
      <w:bookmarkEnd w:id="9"/>
      <w:r>
        <w:rPr>
          <w:rFonts w:hint="eastAsia"/>
          <w:sz w:val="28"/>
          <w:szCs w:val="28"/>
        </w:rPr>
        <w:t>流程</w:t>
      </w:r>
      <w:r>
        <w:rPr>
          <w:sz w:val="28"/>
          <w:szCs w:val="28"/>
        </w:rPr>
        <w:t>（</w:t>
      </w:r>
      <w:r>
        <w:rPr>
          <w:rFonts w:hint="eastAsia"/>
          <w:sz w:val="28"/>
          <w:szCs w:val="28"/>
        </w:rPr>
        <w:t>我</w:t>
      </w:r>
      <w:r>
        <w:rPr>
          <w:sz w:val="28"/>
          <w:szCs w:val="28"/>
        </w:rPr>
        <w:t>要</w:t>
      </w:r>
      <w:r>
        <w:rPr>
          <w:rFonts w:hint="eastAsia"/>
          <w:sz w:val="28"/>
          <w:szCs w:val="28"/>
        </w:rPr>
        <w:t>查</w:t>
      </w:r>
      <w:r>
        <w:rPr>
          <w:sz w:val="28"/>
          <w:szCs w:val="28"/>
        </w:rPr>
        <w:t>）</w:t>
      </w:r>
      <w:bookmarkEnd w:id="10"/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社保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和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医保缴费查询，提供社保缴费查询和医保缴费查询2种，用户可根据业务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需求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选择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对应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查询。</w:t>
      </w:r>
    </w:p>
    <w:p>
      <w:pPr>
        <w:pStyle w:val="5"/>
        <w:rPr>
          <w:rFonts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社</w:t>
      </w:r>
      <w:r>
        <w:rPr>
          <w:rFonts w:hint="eastAsia" w:asciiTheme="majorEastAsia" w:hAnsiTheme="majorEastAsia" w:eastAsiaTheme="majorEastAsia"/>
          <w:sz w:val="24"/>
          <w:szCs w:val="24"/>
        </w:rPr>
        <w:t>（医）保</w:t>
      </w:r>
      <w:r>
        <w:rPr>
          <w:rFonts w:asciiTheme="majorEastAsia" w:hAnsiTheme="majorEastAsia" w:eastAsiaTheme="majorEastAsia"/>
          <w:sz w:val="24"/>
          <w:szCs w:val="24"/>
        </w:rPr>
        <w:t>费缴费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状态</w:t>
      </w:r>
      <w:r>
        <w:rPr>
          <w:rFonts w:asciiTheme="majorEastAsia" w:hAnsiTheme="majorEastAsia" w:eastAsiaTheme="majorEastAsia"/>
          <w:sz w:val="24"/>
          <w:szCs w:val="24"/>
        </w:rPr>
        <w:t>查询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ascii="华文仿宋" w:hAnsi="华文仿宋" w:eastAsia="华文仿宋" w:cs="仿宋_GB2312"/>
          <w:kern w:val="0"/>
          <w:sz w:val="24"/>
          <w:szCs w:val="24"/>
        </w:rPr>
        <w:t>社保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主页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选择社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（医）保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费缴费查询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，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如下图所示：</w:t>
      </w:r>
    </w:p>
    <w:p>
      <w:pPr>
        <w:spacing w:before="163" w:after="163"/>
        <w:ind w:firstLine="48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50390" cy="3617595"/>
            <wp:effectExtent l="0" t="0" r="16510" b="1905"/>
            <wp:docPr id="49" name="图片 49" descr="166202061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620206196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50390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 w:hanging="864"/>
        <w:rPr>
          <w:rFonts w:cs="仿宋_GB2312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.1.3.</w:t>
      </w:r>
      <w:r>
        <w:rPr>
          <w:rFonts w:asciiTheme="majorEastAsia" w:hAnsiTheme="majorEastAsia" w:eastAsiaTheme="majorEastAsia"/>
          <w:sz w:val="24"/>
          <w:szCs w:val="24"/>
        </w:rPr>
        <w:t xml:space="preserve">2 </w:t>
      </w:r>
      <w:r>
        <w:rPr>
          <w:rFonts w:hint="eastAsia"/>
          <w:sz w:val="24"/>
          <w:szCs w:val="24"/>
        </w:rPr>
        <w:t>输入身份信息进行</w:t>
      </w:r>
      <w:r>
        <w:rPr>
          <w:sz w:val="24"/>
          <w:szCs w:val="24"/>
        </w:rPr>
        <w:t>查询</w:t>
      </w:r>
    </w:p>
    <w:p>
      <w:pPr>
        <w:spacing w:before="163" w:after="163"/>
        <w:rPr>
          <w:rFonts w:hint="eastAsia" w:ascii="华文仿宋" w:hAnsi="华文仿宋" w:eastAsia="华文仿宋"/>
          <w:szCs w:val="24"/>
        </w:rPr>
      </w:pPr>
      <w:r>
        <w:rPr>
          <w:rFonts w:hint="eastAsia" w:ascii="华文仿宋" w:hAnsi="华文仿宋" w:eastAsia="华文仿宋"/>
          <w:szCs w:val="24"/>
        </w:rPr>
        <w:t>选择需要查询的险种，输入验证码，点击按钮“查询”即可。</w:t>
      </w:r>
    </w:p>
    <w:p>
      <w:pPr>
        <w:spacing w:before="163" w:after="163"/>
        <w:ind w:firstLine="482"/>
        <w:jc w:val="center"/>
      </w:pPr>
      <w:r>
        <w:drawing>
          <wp:inline distT="0" distB="0" distL="0" distR="0">
            <wp:extent cx="2270125" cy="373380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5924" cy="375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63" w:after="163"/>
      </w:pPr>
    </w:p>
    <w:p>
      <w:pPr>
        <w:pStyle w:val="5"/>
        <w:numPr>
          <w:ilvl w:val="0"/>
          <w:numId w:val="0"/>
        </w:numPr>
        <w:ind w:left="864" w:hanging="864"/>
        <w:rPr>
          <w:rFonts w:cs="仿宋_GB2312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.1.3.</w:t>
      </w:r>
      <w:r>
        <w:rPr>
          <w:rFonts w:asciiTheme="majorEastAsia" w:hAnsiTheme="majorEastAsia" w:eastAsiaTheme="majorEastAsia"/>
          <w:sz w:val="24"/>
          <w:szCs w:val="24"/>
        </w:rPr>
        <w:t xml:space="preserve">3 </w:t>
      </w:r>
      <w:r>
        <w:rPr>
          <w:rFonts w:hint="eastAsia" w:cs="仿宋_GB2312" w:asciiTheme="majorEastAsia" w:hAnsiTheme="majorEastAsia" w:eastAsiaTheme="majorEastAsia"/>
          <w:sz w:val="24"/>
          <w:szCs w:val="24"/>
        </w:rPr>
        <w:t>查询出</w:t>
      </w:r>
      <w:r>
        <w:rPr>
          <w:rFonts w:cs="仿宋_GB2312" w:asciiTheme="majorEastAsia" w:hAnsiTheme="majorEastAsia" w:eastAsiaTheme="majorEastAsia"/>
          <w:sz w:val="24"/>
          <w:szCs w:val="24"/>
        </w:rPr>
        <w:t>结果</w:t>
      </w:r>
      <w:r>
        <w:rPr>
          <w:rFonts w:hint="eastAsia" w:cs="仿宋_GB2312" w:asciiTheme="majorEastAsia" w:hAnsiTheme="majorEastAsia" w:eastAsiaTheme="majorEastAsia"/>
          <w:sz w:val="24"/>
          <w:szCs w:val="24"/>
        </w:rPr>
        <w:t xml:space="preserve"> </w:t>
      </w:r>
    </w:p>
    <w:p>
      <w:pPr>
        <w:spacing w:before="163" w:after="163"/>
        <w:ind w:firstLine="0" w:firstLineChars="0"/>
        <w:jc w:val="left"/>
        <w:rPr>
          <w:rFonts w:ascii="华文仿宋" w:hAnsi="华文仿宋" w:eastAsia="华文仿宋"/>
          <w:sz w:val="28"/>
          <w:szCs w:val="28"/>
        </w:rPr>
      </w:pPr>
      <w:r>
        <w:tab/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社（医）保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缴费明细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查询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，如下图所示：</w:t>
      </w:r>
    </w:p>
    <w:p>
      <w:pPr>
        <w:spacing w:before="163" w:after="163"/>
        <w:ind w:firstLine="482"/>
        <w:jc w:val="center"/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2381250" cy="4438650"/>
            <wp:effectExtent l="0" t="0" r="0" b="0"/>
            <wp:docPr id="5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 w:hanging="864"/>
        <w:rPr>
          <w:rFonts w:cs="仿宋_GB2312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.1.3.</w:t>
      </w:r>
      <w:r>
        <w:rPr>
          <w:rFonts w:asciiTheme="majorEastAsia" w:hAnsiTheme="majorEastAsia" w:eastAsiaTheme="majorEastAsia"/>
          <w:sz w:val="24"/>
          <w:szCs w:val="24"/>
        </w:rPr>
        <w:t xml:space="preserve">4 </w:t>
      </w:r>
      <w:r>
        <w:rPr>
          <w:rFonts w:hint="eastAsia" w:cs="仿宋_GB2312" w:asciiTheme="majorEastAsia" w:hAnsiTheme="majorEastAsia" w:eastAsiaTheme="majorEastAsia"/>
          <w:bCs/>
          <w:sz w:val="24"/>
          <w:szCs w:val="24"/>
        </w:rPr>
        <w:t>社（医）保缴费证明</w:t>
      </w:r>
      <w:r>
        <w:rPr>
          <w:rFonts w:cs="仿宋_GB2312" w:asciiTheme="majorEastAsia" w:hAnsiTheme="majorEastAsia" w:eastAsiaTheme="majorEastAsia"/>
          <w:bCs/>
          <w:sz w:val="24"/>
          <w:szCs w:val="24"/>
        </w:rPr>
        <w:t>开具</w:t>
      </w:r>
    </w:p>
    <w:p>
      <w:pPr>
        <w:spacing w:before="163" w:after="163"/>
        <w:ind w:firstLine="560"/>
        <w:rPr>
          <w:rFonts w:ascii="华文仿宋" w:hAnsi="华文仿宋" w:eastAsia="华文仿宋"/>
          <w:sz w:val="28"/>
          <w:szCs w:val="28"/>
        </w:rPr>
      </w:pPr>
      <w:r>
        <w:rPr>
          <w:rFonts w:ascii="华文仿宋" w:hAnsi="华文仿宋" w:eastAsia="华文仿宋" w:cs="仿宋_GB2312"/>
          <w:kern w:val="0"/>
          <w:sz w:val="24"/>
          <w:szCs w:val="24"/>
        </w:rPr>
        <w:t>社保主页选择：社（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医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）</w:t>
      </w:r>
      <w:r>
        <w:rPr>
          <w:rFonts w:hint="eastAsia" w:ascii="华文仿宋" w:hAnsi="华文仿宋" w:eastAsia="华文仿宋" w:cs="仿宋_GB2312"/>
          <w:kern w:val="0"/>
          <w:sz w:val="24"/>
          <w:szCs w:val="24"/>
        </w:rPr>
        <w:t>保费</w:t>
      </w:r>
      <w:r>
        <w:rPr>
          <w:rFonts w:ascii="华文仿宋" w:hAnsi="华文仿宋" w:eastAsia="华文仿宋" w:cs="仿宋_GB2312"/>
          <w:kern w:val="0"/>
          <w:sz w:val="24"/>
          <w:szCs w:val="24"/>
        </w:rPr>
        <w:t>缴费证明开具，如下图所示：</w:t>
      </w:r>
    </w:p>
    <w:p>
      <w:pPr>
        <w:spacing w:before="163" w:after="163"/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954530" cy="3821430"/>
            <wp:effectExtent l="0" t="0" r="7620" b="7620"/>
            <wp:docPr id="51" name="图片 51" descr="1662020619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166202061965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 w:hanging="864"/>
        <w:rPr>
          <w:rFonts w:cs="仿宋_GB2312" w:asciiTheme="majorEastAsia" w:hAnsiTheme="majorEastAsia" w:eastAsiaTheme="majorEastAsia"/>
          <w:sz w:val="24"/>
          <w:szCs w:val="24"/>
        </w:rPr>
      </w:pPr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.1.3.</w:t>
      </w:r>
      <w:r>
        <w:rPr>
          <w:rFonts w:asciiTheme="majorEastAsia" w:hAnsiTheme="majorEastAsia" w:eastAsiaTheme="majorEastAsia"/>
          <w:sz w:val="24"/>
          <w:szCs w:val="24"/>
        </w:rPr>
        <w:t xml:space="preserve">5 </w:t>
      </w:r>
      <w:r>
        <w:rPr>
          <w:rFonts w:cs="仿宋_GB2312" w:asciiTheme="majorEastAsia" w:hAnsiTheme="majorEastAsia" w:eastAsiaTheme="majorEastAsia"/>
          <w:sz w:val="24"/>
          <w:szCs w:val="24"/>
        </w:rPr>
        <w:t>选择需要打印的缴费</w:t>
      </w:r>
      <w:r>
        <w:rPr>
          <w:rFonts w:hint="eastAsia" w:cs="仿宋_GB2312" w:asciiTheme="majorEastAsia" w:hAnsiTheme="majorEastAsia" w:eastAsiaTheme="majorEastAsia"/>
          <w:sz w:val="24"/>
          <w:szCs w:val="24"/>
        </w:rPr>
        <w:t>信息</w:t>
      </w:r>
    </w:p>
    <w:p>
      <w:pPr>
        <w:spacing w:before="163" w:after="163"/>
        <w:ind w:firstLine="0" w:firstLineChars="0"/>
      </w:pPr>
      <w:r>
        <w:tab/>
      </w:r>
      <w:r>
        <w:rPr>
          <w:rFonts w:hint="eastAsia" w:ascii="华文仿宋" w:hAnsi="华文仿宋" w:eastAsia="华文仿宋" w:cs="华文仿宋"/>
          <w:kern w:val="0"/>
          <w:sz w:val="24"/>
          <w:szCs w:val="24"/>
        </w:rPr>
        <w:t>选择需要打印的缴费信息，如下图所示：</w:t>
      </w:r>
    </w:p>
    <w:p>
      <w:pPr>
        <w:spacing w:before="163" w:after="163"/>
        <w:jc w:val="center"/>
      </w:pPr>
      <w:r>
        <w:rPr>
          <w:rFonts w:ascii="宋体" w:hAnsi="宋体"/>
        </w:rPr>
        <w:drawing>
          <wp:inline distT="0" distB="0" distL="0" distR="0">
            <wp:extent cx="2149475" cy="3648075"/>
            <wp:effectExtent l="0" t="0" r="0" b="0"/>
            <wp:docPr id="28" name="图片 28" descr="15667865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566786501(1)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5692" cy="365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ind w:left="864" w:hanging="864"/>
        <w:rPr>
          <w:rFonts w:cs="仿宋_GB2312" w:asciiTheme="majorEastAsia" w:hAnsiTheme="majorEastAsia" w:eastAsiaTheme="majorEastAsia"/>
          <w:sz w:val="24"/>
          <w:szCs w:val="24"/>
        </w:rPr>
      </w:pPr>
      <w:bookmarkStart w:id="11" w:name="_GoBack"/>
      <w:bookmarkEnd w:id="11"/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.1.3.</w:t>
      </w:r>
      <w:r>
        <w:rPr>
          <w:rFonts w:asciiTheme="majorEastAsia" w:hAnsiTheme="majorEastAsia" w:eastAsiaTheme="majorEastAsia"/>
          <w:sz w:val="24"/>
          <w:szCs w:val="24"/>
        </w:rPr>
        <w:t xml:space="preserve">6 </w:t>
      </w:r>
      <w:r>
        <w:rPr>
          <w:rFonts w:hint="eastAsia" w:cs="仿宋_GB2312" w:asciiTheme="majorEastAsia" w:hAnsiTheme="majorEastAsia" w:eastAsiaTheme="majorEastAsia"/>
          <w:sz w:val="24"/>
          <w:szCs w:val="24"/>
        </w:rPr>
        <w:t>开具</w:t>
      </w:r>
      <w:r>
        <w:rPr>
          <w:rFonts w:cs="仿宋_GB2312" w:asciiTheme="majorEastAsia" w:hAnsiTheme="majorEastAsia" w:eastAsiaTheme="majorEastAsia"/>
          <w:sz w:val="24"/>
          <w:szCs w:val="24"/>
        </w:rPr>
        <w:t>下载</w:t>
      </w:r>
    </w:p>
    <w:p>
      <w:pPr>
        <w:spacing w:before="163" w:after="163"/>
        <w:ind w:firstLine="560"/>
        <w:rPr>
          <w:rFonts w:ascii="华文仿宋" w:hAnsi="华文仿宋" w:eastAsia="华文仿宋"/>
          <w:sz w:val="24"/>
          <w:szCs w:val="24"/>
        </w:rPr>
      </w:pPr>
      <w:r>
        <w:rPr>
          <w:rFonts w:hint="eastAsia" w:ascii="华文仿宋" w:hAnsi="华文仿宋" w:eastAsia="华文仿宋"/>
          <w:sz w:val="24"/>
          <w:szCs w:val="24"/>
        </w:rPr>
        <w:t>如下图</w:t>
      </w:r>
      <w:r>
        <w:rPr>
          <w:rFonts w:ascii="华文仿宋" w:hAnsi="华文仿宋" w:eastAsia="华文仿宋"/>
          <w:sz w:val="24"/>
          <w:szCs w:val="24"/>
        </w:rPr>
        <w:t>：</w:t>
      </w:r>
    </w:p>
    <w:p>
      <w:pPr>
        <w:spacing w:before="163" w:after="163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0" distR="0">
            <wp:extent cx="1743075" cy="2827655"/>
            <wp:effectExtent l="0" t="0" r="0" b="0"/>
            <wp:docPr id="29" name="图片 29" descr="15667865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66786523(1)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7414" cy="283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>
      <w:pPr>
        <w:pStyle w:val="5"/>
        <w:numPr>
          <w:ilvl w:val="0"/>
          <w:numId w:val="0"/>
        </w:numPr>
        <w:ind w:left="864" w:hanging="864"/>
        <w:rPr>
          <w:rFonts w:hint="eastAsia" w:cs="仿宋_GB2312" w:asciiTheme="majorEastAsia" w:hAnsiTheme="majorEastAsia" w:eastAsiaTheme="majorEastAsia"/>
          <w:sz w:val="24"/>
          <w:szCs w:val="24"/>
          <w:lang w:val="en-US" w:eastAsia="zh-CN"/>
        </w:rPr>
      </w:pPr>
      <w:r>
        <w:rPr>
          <w:rFonts w:asciiTheme="majorEastAsia" w:hAnsiTheme="majorEastAsia" w:eastAsiaTheme="majorEastAsia"/>
          <w:sz w:val="24"/>
          <w:szCs w:val="24"/>
        </w:rPr>
        <w:t>1</w:t>
      </w:r>
      <w:r>
        <w:rPr>
          <w:rFonts w:hint="eastAsia" w:asciiTheme="majorEastAsia" w:hAnsiTheme="majorEastAsia" w:eastAsiaTheme="majorEastAsia"/>
          <w:sz w:val="24"/>
          <w:szCs w:val="24"/>
        </w:rPr>
        <w:t>.1.3.</w:t>
      </w:r>
      <w:r>
        <w:rPr>
          <w:rFonts w:hint="eastAsia" w:asciiTheme="majorEastAsia" w:hAnsiTheme="majorEastAsia" w:eastAsiaTheme="majorEastAsia"/>
          <w:sz w:val="24"/>
          <w:szCs w:val="24"/>
          <w:lang w:val="en-US" w:eastAsia="zh-CN"/>
        </w:rPr>
        <w:t>7</w:t>
      </w:r>
      <w:r>
        <w:rPr>
          <w:rFonts w:asciiTheme="majorEastAsia" w:hAnsiTheme="majorEastAsia" w:eastAsiaTheme="majorEastAsia"/>
          <w:sz w:val="24"/>
          <w:szCs w:val="24"/>
        </w:rPr>
        <w:t xml:space="preserve"> </w:t>
      </w:r>
      <w:r>
        <w:rPr>
          <w:rFonts w:hint="eastAsia" w:asciiTheme="majorEastAsia" w:hAnsiTheme="majorEastAsia" w:eastAsiaTheme="majorEastAsia"/>
          <w:sz w:val="24"/>
          <w:szCs w:val="24"/>
          <w:lang w:eastAsia="zh-CN"/>
        </w:rPr>
        <w:t>参保信息查询</w:t>
      </w:r>
    </w:p>
    <w:p>
      <w:pPr>
        <w:spacing w:before="163" w:after="163"/>
        <w:rPr>
          <w:rFonts w:ascii="华文仿宋" w:hAnsi="华文仿宋" w:eastAsia="华文仿宋" w:cs="仿宋_GB2312"/>
          <w:kern w:val="0"/>
          <w:szCs w:val="24"/>
        </w:rPr>
      </w:pPr>
      <w:r>
        <w:rPr>
          <w:rFonts w:hint="eastAsia" w:ascii="华文仿宋" w:hAnsi="华文仿宋" w:eastAsia="华文仿宋" w:cs="仿宋_GB2312"/>
          <w:kern w:val="0"/>
          <w:szCs w:val="24"/>
          <w:lang w:eastAsia="zh-CN"/>
        </w:rPr>
        <w:t>缴费人可以通过“参保信息查询”参保机构、险种信息</w:t>
      </w:r>
      <w:r>
        <w:rPr>
          <w:rFonts w:ascii="华文仿宋" w:hAnsi="华文仿宋" w:eastAsia="华文仿宋" w:cs="仿宋_GB2312"/>
          <w:kern w:val="0"/>
          <w:szCs w:val="24"/>
        </w:rPr>
        <w:t>，如下图所示</w:t>
      </w:r>
      <w:r>
        <w:rPr>
          <w:rFonts w:hint="eastAsia" w:ascii="华文仿宋" w:hAnsi="华文仿宋" w:eastAsia="华文仿宋" w:cs="仿宋_GB2312"/>
          <w:kern w:val="0"/>
          <w:szCs w:val="24"/>
        </w:rPr>
        <w:t>：</w:t>
      </w:r>
    </w:p>
    <w:p>
      <w:pPr>
        <w:spacing w:before="163" w:after="163"/>
        <w:jc w:val="center"/>
        <w:rPr>
          <w:rFonts w:hint="eastAsia"/>
          <w:sz w:val="24"/>
          <w:szCs w:val="24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089785" cy="3898900"/>
            <wp:effectExtent l="0" t="0" r="5715" b="6350"/>
            <wp:docPr id="31" name="图片 31" descr="166201687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66201687428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3"/>
          <w:numId w:val="0"/>
        </w:numPr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 xml:space="preserve">1.1.3.8 </w:t>
      </w:r>
      <w:r>
        <w:rPr>
          <w:rFonts w:hint="eastAsia"/>
          <w:sz w:val="24"/>
          <w:szCs w:val="24"/>
        </w:rPr>
        <w:t>输入身份信息进行</w:t>
      </w:r>
      <w:r>
        <w:rPr>
          <w:sz w:val="24"/>
          <w:szCs w:val="24"/>
        </w:rPr>
        <w:t>查询</w:t>
      </w:r>
      <w:r>
        <w:rPr>
          <w:rFonts w:hint="eastAsia"/>
          <w:sz w:val="24"/>
          <w:szCs w:val="24"/>
        </w:rPr>
        <w:t xml:space="preserve"> </w:t>
      </w:r>
    </w:p>
    <w:p>
      <w:pPr>
        <w:rPr>
          <w:rFonts w:hint="eastAsia" w:ascii="华文仿宋" w:hAnsi="华文仿宋" w:eastAsia="华文仿宋" w:cs="华文仿宋"/>
          <w:lang w:eastAsia="zh-CN"/>
        </w:rPr>
      </w:pPr>
      <w:r>
        <w:rPr>
          <w:rFonts w:hint="eastAsia" w:ascii="华文仿宋" w:hAnsi="华文仿宋" w:eastAsia="华文仿宋" w:cs="华文仿宋"/>
          <w:sz w:val="24"/>
          <w:szCs w:val="24"/>
          <w:lang w:eastAsia="zh-CN"/>
        </w:rPr>
        <w:t>输入要查询的缴费人身份信息、输入验证码，点击“查询”按钮即可查询，也可以选择右上角的“选择缴费人”按钮添加常用联系人，选中某一个需要查询的缴费人即可查询。</w:t>
      </w:r>
    </w:p>
    <w:p>
      <w:pPr>
        <w:spacing w:before="163" w:after="163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211070" cy="3810000"/>
            <wp:effectExtent l="0" t="0" r="17780" b="0"/>
            <wp:docPr id="52" name="图片 52" descr="1662017054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166201705467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180590" cy="3647440"/>
            <wp:effectExtent l="0" t="0" r="10160" b="10160"/>
            <wp:docPr id="53" name="图片 53" descr="1662017348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6620173481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3" w:after="163"/>
        <w:jc w:val="center"/>
        <w:rPr>
          <w:rFonts w:ascii="宋体" w:hAnsi="宋体"/>
        </w:rPr>
      </w:pPr>
    </w:p>
    <w:sectPr>
      <w:pgSz w:w="11906" w:h="16838"/>
      <w:pgMar w:top="1440" w:right="1797" w:bottom="1440" w:left="1797" w:header="850" w:footer="1134" w:gutter="0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Menlo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360"/>
      <w:rPr>
        <w:rFonts w:ascii="宋体" w:hAnsi="宋体"/>
        <w:sz w:val="20"/>
        <w:szCs w:val="20"/>
      </w:rPr>
    </w:pPr>
    <w:r>
      <w:rPr>
        <w:rFonts w:hint="eastAsia" w:ascii="宋体" w:hAnsi="宋体"/>
        <w:kern w:val="0"/>
        <w:sz w:val="20"/>
        <w:szCs w:val="20"/>
      </w:rPr>
      <w:t>第</w:t>
    </w:r>
    <w:r>
      <w:rPr>
        <w:rFonts w:ascii="宋体" w:hAnsi="宋体"/>
        <w:kern w:val="0"/>
        <w:sz w:val="20"/>
        <w:szCs w:val="20"/>
      </w:rPr>
      <w:fldChar w:fldCharType="begin"/>
    </w:r>
    <w:r>
      <w:rPr>
        <w:rFonts w:ascii="宋体" w:hAnsi="宋体"/>
        <w:kern w:val="0"/>
        <w:sz w:val="20"/>
        <w:szCs w:val="20"/>
      </w:rPr>
      <w:instrText xml:space="preserve"> PAGE </w:instrText>
    </w:r>
    <w:r>
      <w:rPr>
        <w:rFonts w:ascii="宋体" w:hAnsi="宋体"/>
        <w:kern w:val="0"/>
        <w:sz w:val="20"/>
        <w:szCs w:val="20"/>
      </w:rPr>
      <w:fldChar w:fldCharType="separate"/>
    </w:r>
    <w:r>
      <w:rPr>
        <w:rFonts w:ascii="宋体" w:hAnsi="宋体"/>
        <w:kern w:val="0"/>
        <w:sz w:val="20"/>
        <w:szCs w:val="20"/>
      </w:rPr>
      <w:t>2</w:t>
    </w:r>
    <w:r>
      <w:rPr>
        <w:rFonts w:ascii="宋体" w:hAnsi="宋体"/>
        <w:kern w:val="0"/>
        <w:sz w:val="20"/>
        <w:szCs w:val="20"/>
      </w:rPr>
      <w:fldChar w:fldCharType="end"/>
    </w:r>
    <w:r>
      <w:rPr>
        <w:rFonts w:hint="eastAsia" w:ascii="宋体" w:hAnsi="宋体"/>
        <w:kern w:val="0"/>
        <w:sz w:val="20"/>
        <w:szCs w:val="20"/>
      </w:rPr>
      <w:t>页 共</w:t>
    </w:r>
    <w:r>
      <w:rPr>
        <w:rFonts w:ascii="宋体" w:hAnsi="宋体"/>
        <w:kern w:val="0"/>
        <w:sz w:val="20"/>
        <w:szCs w:val="20"/>
      </w:rPr>
      <w:fldChar w:fldCharType="begin"/>
    </w:r>
    <w:r>
      <w:rPr>
        <w:rFonts w:ascii="宋体" w:hAnsi="宋体"/>
        <w:kern w:val="0"/>
        <w:sz w:val="20"/>
        <w:szCs w:val="20"/>
      </w:rPr>
      <w:instrText xml:space="preserve"> NUMPAGES </w:instrText>
    </w:r>
    <w:r>
      <w:rPr>
        <w:rFonts w:ascii="宋体" w:hAnsi="宋体"/>
        <w:kern w:val="0"/>
        <w:sz w:val="20"/>
        <w:szCs w:val="20"/>
      </w:rPr>
      <w:fldChar w:fldCharType="separate"/>
    </w:r>
    <w:r>
      <w:rPr>
        <w:rFonts w:ascii="宋体" w:hAnsi="宋体"/>
        <w:kern w:val="0"/>
        <w:sz w:val="20"/>
        <w:szCs w:val="20"/>
      </w:rPr>
      <w:t>17</w:t>
    </w:r>
    <w:r>
      <w:rPr>
        <w:rFonts w:ascii="宋体" w:hAnsi="宋体"/>
        <w:kern w:val="0"/>
        <w:sz w:val="20"/>
        <w:szCs w:val="20"/>
      </w:rPr>
      <w:fldChar w:fldCharType="end"/>
    </w:r>
    <w:r>
      <w:rPr>
        <w:rFonts w:hint="eastAsia" w:ascii="宋体" w:hAnsi="宋体"/>
        <w:kern w:val="0"/>
        <w:sz w:val="20"/>
        <w:szCs w:val="20"/>
      </w:rPr>
      <w:t>页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 w:after="120"/>
      <w:ind w:left="-6720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spacing w:before="120" w:after="120"/>
      <w:ind w:left="-672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480"/>
      </w:pPr>
      <w:r>
        <w:separator/>
      </w:r>
    </w:p>
  </w:footnote>
  <w:footnote w:type="continuationSeparator" w:id="1">
    <w:p>
      <w:pPr>
        <w:spacing w:before="0" w:after="0"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both"/>
      <w:rPr>
        <w:sz w:val="20"/>
        <w:szCs w:val="20"/>
      </w:rPr>
    </w:pPr>
    <w:r>
      <w:rPr>
        <w:rFonts w:hint="eastAsia"/>
        <w:sz w:val="20"/>
        <w:szCs w:val="20"/>
      </w:rPr>
      <w:t xml:space="preserve">城乡居民社（医）保缴费                             </w:t>
    </w:r>
    <w:r>
      <w:rPr>
        <w:sz w:val="20"/>
        <w:szCs w:val="20"/>
      </w:rPr>
      <w:t xml:space="preserve">                        </w:t>
    </w:r>
    <w:r>
      <w:rPr>
        <w:rFonts w:hint="eastAsia"/>
        <w:sz w:val="20"/>
        <w:szCs w:val="20"/>
      </w:rPr>
      <w:t>微信</w:t>
    </w:r>
    <w:r>
      <w:rPr>
        <w:sz w:val="20"/>
        <w:szCs w:val="20"/>
      </w:rPr>
      <w:t>缴费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8277F6"/>
    <w:multiLevelType w:val="multilevel"/>
    <w:tmpl w:val="1F8277F6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366"/>
    <w:rsid w:val="00004117"/>
    <w:rsid w:val="00005820"/>
    <w:rsid w:val="000100D2"/>
    <w:rsid w:val="00014308"/>
    <w:rsid w:val="00025625"/>
    <w:rsid w:val="0002730D"/>
    <w:rsid w:val="00031CAD"/>
    <w:rsid w:val="0003311F"/>
    <w:rsid w:val="00034A9E"/>
    <w:rsid w:val="00037E91"/>
    <w:rsid w:val="00043D22"/>
    <w:rsid w:val="000448BA"/>
    <w:rsid w:val="00044D9B"/>
    <w:rsid w:val="00047191"/>
    <w:rsid w:val="0005246F"/>
    <w:rsid w:val="00053134"/>
    <w:rsid w:val="00067D38"/>
    <w:rsid w:val="00067D5C"/>
    <w:rsid w:val="0007214E"/>
    <w:rsid w:val="000744FB"/>
    <w:rsid w:val="000861C5"/>
    <w:rsid w:val="0009158D"/>
    <w:rsid w:val="000A56C2"/>
    <w:rsid w:val="000A60F3"/>
    <w:rsid w:val="000B1C14"/>
    <w:rsid w:val="000C191D"/>
    <w:rsid w:val="000C649E"/>
    <w:rsid w:val="000C7EED"/>
    <w:rsid w:val="000D1AFF"/>
    <w:rsid w:val="000D1CC1"/>
    <w:rsid w:val="000E08A9"/>
    <w:rsid w:val="000E0DD0"/>
    <w:rsid w:val="000E1652"/>
    <w:rsid w:val="000E2252"/>
    <w:rsid w:val="000E281F"/>
    <w:rsid w:val="000E52DD"/>
    <w:rsid w:val="000E5523"/>
    <w:rsid w:val="000E573D"/>
    <w:rsid w:val="000F19FB"/>
    <w:rsid w:val="000F38C1"/>
    <w:rsid w:val="000F4603"/>
    <w:rsid w:val="000F6AB9"/>
    <w:rsid w:val="00101F2A"/>
    <w:rsid w:val="00104519"/>
    <w:rsid w:val="001052CF"/>
    <w:rsid w:val="00114EFE"/>
    <w:rsid w:val="00126CC9"/>
    <w:rsid w:val="00131765"/>
    <w:rsid w:val="001350BB"/>
    <w:rsid w:val="00141342"/>
    <w:rsid w:val="00147709"/>
    <w:rsid w:val="00151AEB"/>
    <w:rsid w:val="0015375A"/>
    <w:rsid w:val="001539E3"/>
    <w:rsid w:val="001573D1"/>
    <w:rsid w:val="00160A96"/>
    <w:rsid w:val="00163F5C"/>
    <w:rsid w:val="00167B04"/>
    <w:rsid w:val="001733A6"/>
    <w:rsid w:val="0017679A"/>
    <w:rsid w:val="00177376"/>
    <w:rsid w:val="001847C7"/>
    <w:rsid w:val="0019160E"/>
    <w:rsid w:val="001949AE"/>
    <w:rsid w:val="001977C5"/>
    <w:rsid w:val="001B11E3"/>
    <w:rsid w:val="001C29C5"/>
    <w:rsid w:val="001C3839"/>
    <w:rsid w:val="001C387E"/>
    <w:rsid w:val="001D542F"/>
    <w:rsid w:val="001D66D8"/>
    <w:rsid w:val="001D7E93"/>
    <w:rsid w:val="001E332D"/>
    <w:rsid w:val="001E3C9C"/>
    <w:rsid w:val="001E7396"/>
    <w:rsid w:val="001F0A38"/>
    <w:rsid w:val="001F2AA1"/>
    <w:rsid w:val="001F6106"/>
    <w:rsid w:val="002022CE"/>
    <w:rsid w:val="00202499"/>
    <w:rsid w:val="00202B6B"/>
    <w:rsid w:val="002106FE"/>
    <w:rsid w:val="00210750"/>
    <w:rsid w:val="0021301E"/>
    <w:rsid w:val="002131BB"/>
    <w:rsid w:val="00224C3D"/>
    <w:rsid w:val="002263BA"/>
    <w:rsid w:val="0022692B"/>
    <w:rsid w:val="00232B0A"/>
    <w:rsid w:val="00237055"/>
    <w:rsid w:val="00243747"/>
    <w:rsid w:val="00251AAC"/>
    <w:rsid w:val="002605FB"/>
    <w:rsid w:val="00264D46"/>
    <w:rsid w:val="00276DE5"/>
    <w:rsid w:val="00277D77"/>
    <w:rsid w:val="002842F5"/>
    <w:rsid w:val="00286839"/>
    <w:rsid w:val="0029321C"/>
    <w:rsid w:val="002A7997"/>
    <w:rsid w:val="002A7E8B"/>
    <w:rsid w:val="002B0189"/>
    <w:rsid w:val="002B4EA2"/>
    <w:rsid w:val="002C1B37"/>
    <w:rsid w:val="002C5774"/>
    <w:rsid w:val="002C582C"/>
    <w:rsid w:val="002D5354"/>
    <w:rsid w:val="002F09E8"/>
    <w:rsid w:val="002F1BCC"/>
    <w:rsid w:val="002F29C7"/>
    <w:rsid w:val="002F46FA"/>
    <w:rsid w:val="002F6009"/>
    <w:rsid w:val="002F6735"/>
    <w:rsid w:val="00303955"/>
    <w:rsid w:val="00303A0F"/>
    <w:rsid w:val="00305211"/>
    <w:rsid w:val="00315CE6"/>
    <w:rsid w:val="003245FF"/>
    <w:rsid w:val="00335665"/>
    <w:rsid w:val="0033730A"/>
    <w:rsid w:val="00343C69"/>
    <w:rsid w:val="003578BD"/>
    <w:rsid w:val="0036143A"/>
    <w:rsid w:val="00362535"/>
    <w:rsid w:val="003710DD"/>
    <w:rsid w:val="003769EF"/>
    <w:rsid w:val="00380A3C"/>
    <w:rsid w:val="00383039"/>
    <w:rsid w:val="00386784"/>
    <w:rsid w:val="00392E2C"/>
    <w:rsid w:val="00394821"/>
    <w:rsid w:val="003A0A5A"/>
    <w:rsid w:val="003A4968"/>
    <w:rsid w:val="003A608F"/>
    <w:rsid w:val="003B4670"/>
    <w:rsid w:val="003C1FE2"/>
    <w:rsid w:val="003C51FD"/>
    <w:rsid w:val="003C7FDB"/>
    <w:rsid w:val="003D5E76"/>
    <w:rsid w:val="003E2A5E"/>
    <w:rsid w:val="003E7C68"/>
    <w:rsid w:val="003F18AF"/>
    <w:rsid w:val="003F1C15"/>
    <w:rsid w:val="003F750F"/>
    <w:rsid w:val="00405A56"/>
    <w:rsid w:val="00407F36"/>
    <w:rsid w:val="00410F55"/>
    <w:rsid w:val="00417DB7"/>
    <w:rsid w:val="0042068A"/>
    <w:rsid w:val="00420A4C"/>
    <w:rsid w:val="004266F1"/>
    <w:rsid w:val="00426749"/>
    <w:rsid w:val="00434007"/>
    <w:rsid w:val="004452BF"/>
    <w:rsid w:val="00452E4C"/>
    <w:rsid w:val="00456C83"/>
    <w:rsid w:val="00456DB5"/>
    <w:rsid w:val="0046001B"/>
    <w:rsid w:val="00461FD9"/>
    <w:rsid w:val="004625B5"/>
    <w:rsid w:val="00466DBA"/>
    <w:rsid w:val="00467D21"/>
    <w:rsid w:val="00474124"/>
    <w:rsid w:val="0049409B"/>
    <w:rsid w:val="00495C5F"/>
    <w:rsid w:val="00496140"/>
    <w:rsid w:val="004A4872"/>
    <w:rsid w:val="004B1FBE"/>
    <w:rsid w:val="004B285D"/>
    <w:rsid w:val="004B3711"/>
    <w:rsid w:val="004B4439"/>
    <w:rsid w:val="004C028F"/>
    <w:rsid w:val="004C2978"/>
    <w:rsid w:val="004C64DB"/>
    <w:rsid w:val="004C749E"/>
    <w:rsid w:val="004C7C9D"/>
    <w:rsid w:val="004D0CAD"/>
    <w:rsid w:val="004D22CC"/>
    <w:rsid w:val="004D258D"/>
    <w:rsid w:val="004D5424"/>
    <w:rsid w:val="004E0132"/>
    <w:rsid w:val="004F3243"/>
    <w:rsid w:val="004F709F"/>
    <w:rsid w:val="00500D25"/>
    <w:rsid w:val="0050296C"/>
    <w:rsid w:val="00503DD7"/>
    <w:rsid w:val="00511638"/>
    <w:rsid w:val="005134BD"/>
    <w:rsid w:val="005214C8"/>
    <w:rsid w:val="00523A37"/>
    <w:rsid w:val="00523B95"/>
    <w:rsid w:val="00527E7A"/>
    <w:rsid w:val="00531868"/>
    <w:rsid w:val="00533066"/>
    <w:rsid w:val="0053544C"/>
    <w:rsid w:val="00537D5A"/>
    <w:rsid w:val="00540488"/>
    <w:rsid w:val="00547ADE"/>
    <w:rsid w:val="00552A9D"/>
    <w:rsid w:val="00557797"/>
    <w:rsid w:val="005711AB"/>
    <w:rsid w:val="00573180"/>
    <w:rsid w:val="005845D9"/>
    <w:rsid w:val="0059120F"/>
    <w:rsid w:val="00594658"/>
    <w:rsid w:val="005B55BE"/>
    <w:rsid w:val="005B6705"/>
    <w:rsid w:val="005B6CF1"/>
    <w:rsid w:val="005B792C"/>
    <w:rsid w:val="005C25AC"/>
    <w:rsid w:val="005C3718"/>
    <w:rsid w:val="005D010E"/>
    <w:rsid w:val="005D0BB5"/>
    <w:rsid w:val="005D13C6"/>
    <w:rsid w:val="005E59FD"/>
    <w:rsid w:val="005E5BA6"/>
    <w:rsid w:val="005F156A"/>
    <w:rsid w:val="005F41C2"/>
    <w:rsid w:val="005F51CF"/>
    <w:rsid w:val="005F75CF"/>
    <w:rsid w:val="00600F91"/>
    <w:rsid w:val="00600FF3"/>
    <w:rsid w:val="006064DB"/>
    <w:rsid w:val="006074A9"/>
    <w:rsid w:val="00611248"/>
    <w:rsid w:val="00620882"/>
    <w:rsid w:val="006319FC"/>
    <w:rsid w:val="006340B8"/>
    <w:rsid w:val="00647C3C"/>
    <w:rsid w:val="00651CF2"/>
    <w:rsid w:val="00656F32"/>
    <w:rsid w:val="006679C2"/>
    <w:rsid w:val="00670703"/>
    <w:rsid w:val="0067582F"/>
    <w:rsid w:val="00675ABA"/>
    <w:rsid w:val="00680E06"/>
    <w:rsid w:val="006810F2"/>
    <w:rsid w:val="0069343B"/>
    <w:rsid w:val="00693A05"/>
    <w:rsid w:val="0069596E"/>
    <w:rsid w:val="006A2179"/>
    <w:rsid w:val="006A3A2E"/>
    <w:rsid w:val="006A4196"/>
    <w:rsid w:val="006A675F"/>
    <w:rsid w:val="006B06CC"/>
    <w:rsid w:val="006B1DC3"/>
    <w:rsid w:val="006B7358"/>
    <w:rsid w:val="006C0A93"/>
    <w:rsid w:val="006C3996"/>
    <w:rsid w:val="006C696E"/>
    <w:rsid w:val="006C6ADC"/>
    <w:rsid w:val="006D1B33"/>
    <w:rsid w:val="006E6D5B"/>
    <w:rsid w:val="006F0CD7"/>
    <w:rsid w:val="006F7E71"/>
    <w:rsid w:val="00701A0C"/>
    <w:rsid w:val="007065DA"/>
    <w:rsid w:val="007066E5"/>
    <w:rsid w:val="00707A6F"/>
    <w:rsid w:val="0071312D"/>
    <w:rsid w:val="00714630"/>
    <w:rsid w:val="00727D70"/>
    <w:rsid w:val="00733A4F"/>
    <w:rsid w:val="00740328"/>
    <w:rsid w:val="00745F24"/>
    <w:rsid w:val="00747347"/>
    <w:rsid w:val="007476B5"/>
    <w:rsid w:val="00753403"/>
    <w:rsid w:val="00755D0A"/>
    <w:rsid w:val="00757181"/>
    <w:rsid w:val="00762031"/>
    <w:rsid w:val="00762809"/>
    <w:rsid w:val="00762F4F"/>
    <w:rsid w:val="00764A54"/>
    <w:rsid w:val="0077095E"/>
    <w:rsid w:val="007737CA"/>
    <w:rsid w:val="007758BE"/>
    <w:rsid w:val="00780351"/>
    <w:rsid w:val="00781B81"/>
    <w:rsid w:val="0078541F"/>
    <w:rsid w:val="00792319"/>
    <w:rsid w:val="007A28AD"/>
    <w:rsid w:val="007A571A"/>
    <w:rsid w:val="007B3C0A"/>
    <w:rsid w:val="007B709B"/>
    <w:rsid w:val="007C39EB"/>
    <w:rsid w:val="007D3D71"/>
    <w:rsid w:val="007E1F94"/>
    <w:rsid w:val="007E287E"/>
    <w:rsid w:val="007E4415"/>
    <w:rsid w:val="007F084D"/>
    <w:rsid w:val="007F4071"/>
    <w:rsid w:val="007F4D7A"/>
    <w:rsid w:val="00806766"/>
    <w:rsid w:val="00806C25"/>
    <w:rsid w:val="0081119B"/>
    <w:rsid w:val="00815E71"/>
    <w:rsid w:val="0082095C"/>
    <w:rsid w:val="00826473"/>
    <w:rsid w:val="00826A14"/>
    <w:rsid w:val="008363CB"/>
    <w:rsid w:val="0085199F"/>
    <w:rsid w:val="00855EF0"/>
    <w:rsid w:val="008566B4"/>
    <w:rsid w:val="00861014"/>
    <w:rsid w:val="008634F1"/>
    <w:rsid w:val="00863F35"/>
    <w:rsid w:val="00865731"/>
    <w:rsid w:val="008702B7"/>
    <w:rsid w:val="008717C0"/>
    <w:rsid w:val="00877641"/>
    <w:rsid w:val="00877F18"/>
    <w:rsid w:val="00881110"/>
    <w:rsid w:val="00881839"/>
    <w:rsid w:val="008850B9"/>
    <w:rsid w:val="0089453C"/>
    <w:rsid w:val="008A08EA"/>
    <w:rsid w:val="008A16A9"/>
    <w:rsid w:val="008A71F1"/>
    <w:rsid w:val="008B2EB4"/>
    <w:rsid w:val="008B3413"/>
    <w:rsid w:val="008B7350"/>
    <w:rsid w:val="008D0266"/>
    <w:rsid w:val="008D2E22"/>
    <w:rsid w:val="008D31E8"/>
    <w:rsid w:val="008E6287"/>
    <w:rsid w:val="008E691E"/>
    <w:rsid w:val="009037EC"/>
    <w:rsid w:val="00907FA1"/>
    <w:rsid w:val="009163C2"/>
    <w:rsid w:val="009340C9"/>
    <w:rsid w:val="0094423F"/>
    <w:rsid w:val="0094429C"/>
    <w:rsid w:val="00945DC4"/>
    <w:rsid w:val="00951324"/>
    <w:rsid w:val="00952D83"/>
    <w:rsid w:val="00954913"/>
    <w:rsid w:val="00955531"/>
    <w:rsid w:val="0096068B"/>
    <w:rsid w:val="00964AE1"/>
    <w:rsid w:val="00971B9D"/>
    <w:rsid w:val="00971D51"/>
    <w:rsid w:val="00976ED9"/>
    <w:rsid w:val="009770AF"/>
    <w:rsid w:val="00981595"/>
    <w:rsid w:val="00981E38"/>
    <w:rsid w:val="009835AB"/>
    <w:rsid w:val="00983D00"/>
    <w:rsid w:val="00992E3B"/>
    <w:rsid w:val="009950BA"/>
    <w:rsid w:val="009A12F3"/>
    <w:rsid w:val="009A2527"/>
    <w:rsid w:val="009B24AA"/>
    <w:rsid w:val="009B49F9"/>
    <w:rsid w:val="009C08DA"/>
    <w:rsid w:val="009C6414"/>
    <w:rsid w:val="009D16AC"/>
    <w:rsid w:val="009D56D7"/>
    <w:rsid w:val="009E335C"/>
    <w:rsid w:val="009F752B"/>
    <w:rsid w:val="00A01820"/>
    <w:rsid w:val="00A0230B"/>
    <w:rsid w:val="00A04AF0"/>
    <w:rsid w:val="00A065A0"/>
    <w:rsid w:val="00A134A8"/>
    <w:rsid w:val="00A16501"/>
    <w:rsid w:val="00A2019D"/>
    <w:rsid w:val="00A20EB0"/>
    <w:rsid w:val="00A23C62"/>
    <w:rsid w:val="00A306BF"/>
    <w:rsid w:val="00A339B8"/>
    <w:rsid w:val="00A37366"/>
    <w:rsid w:val="00A3765E"/>
    <w:rsid w:val="00A4125F"/>
    <w:rsid w:val="00A41F40"/>
    <w:rsid w:val="00A43B36"/>
    <w:rsid w:val="00A46CA3"/>
    <w:rsid w:val="00A4754D"/>
    <w:rsid w:val="00A512B3"/>
    <w:rsid w:val="00A52E63"/>
    <w:rsid w:val="00A57674"/>
    <w:rsid w:val="00A66D92"/>
    <w:rsid w:val="00A672C3"/>
    <w:rsid w:val="00A6769F"/>
    <w:rsid w:val="00A74D01"/>
    <w:rsid w:val="00A81ACE"/>
    <w:rsid w:val="00A9182E"/>
    <w:rsid w:val="00A918F5"/>
    <w:rsid w:val="00A9273B"/>
    <w:rsid w:val="00A9397E"/>
    <w:rsid w:val="00A973C5"/>
    <w:rsid w:val="00AA27AE"/>
    <w:rsid w:val="00AB2B33"/>
    <w:rsid w:val="00AB7662"/>
    <w:rsid w:val="00AC12FE"/>
    <w:rsid w:val="00AD6483"/>
    <w:rsid w:val="00AD7FBF"/>
    <w:rsid w:val="00AE098C"/>
    <w:rsid w:val="00AF31B1"/>
    <w:rsid w:val="00AF486D"/>
    <w:rsid w:val="00B0031D"/>
    <w:rsid w:val="00B218EB"/>
    <w:rsid w:val="00B225D7"/>
    <w:rsid w:val="00B26D44"/>
    <w:rsid w:val="00B32DDC"/>
    <w:rsid w:val="00B35214"/>
    <w:rsid w:val="00B36E50"/>
    <w:rsid w:val="00B43A41"/>
    <w:rsid w:val="00B45113"/>
    <w:rsid w:val="00B66461"/>
    <w:rsid w:val="00B67F95"/>
    <w:rsid w:val="00B70028"/>
    <w:rsid w:val="00B715A0"/>
    <w:rsid w:val="00B728F5"/>
    <w:rsid w:val="00B743BE"/>
    <w:rsid w:val="00B7744D"/>
    <w:rsid w:val="00B77F1E"/>
    <w:rsid w:val="00B82B82"/>
    <w:rsid w:val="00B94446"/>
    <w:rsid w:val="00B96672"/>
    <w:rsid w:val="00BA00CA"/>
    <w:rsid w:val="00BA149A"/>
    <w:rsid w:val="00BA776D"/>
    <w:rsid w:val="00BB19E9"/>
    <w:rsid w:val="00BC07DA"/>
    <w:rsid w:val="00BC1C63"/>
    <w:rsid w:val="00BC2580"/>
    <w:rsid w:val="00BC3C4B"/>
    <w:rsid w:val="00BC76EF"/>
    <w:rsid w:val="00BC77BF"/>
    <w:rsid w:val="00BE0A82"/>
    <w:rsid w:val="00BE3B99"/>
    <w:rsid w:val="00BE50AA"/>
    <w:rsid w:val="00BF6E94"/>
    <w:rsid w:val="00C10178"/>
    <w:rsid w:val="00C10A26"/>
    <w:rsid w:val="00C1501D"/>
    <w:rsid w:val="00C15C50"/>
    <w:rsid w:val="00C16CCE"/>
    <w:rsid w:val="00C223B9"/>
    <w:rsid w:val="00C30775"/>
    <w:rsid w:val="00C326C0"/>
    <w:rsid w:val="00C335F1"/>
    <w:rsid w:val="00C35E0F"/>
    <w:rsid w:val="00C43C89"/>
    <w:rsid w:val="00C468C9"/>
    <w:rsid w:val="00C507D7"/>
    <w:rsid w:val="00C53827"/>
    <w:rsid w:val="00C56498"/>
    <w:rsid w:val="00C57EE7"/>
    <w:rsid w:val="00C601C9"/>
    <w:rsid w:val="00C62475"/>
    <w:rsid w:val="00C70D80"/>
    <w:rsid w:val="00C762A4"/>
    <w:rsid w:val="00C76A4C"/>
    <w:rsid w:val="00CA1358"/>
    <w:rsid w:val="00CA6AFB"/>
    <w:rsid w:val="00CB0F01"/>
    <w:rsid w:val="00CB622E"/>
    <w:rsid w:val="00CC2332"/>
    <w:rsid w:val="00CD73B1"/>
    <w:rsid w:val="00CE5EE8"/>
    <w:rsid w:val="00CF4D7A"/>
    <w:rsid w:val="00D057B1"/>
    <w:rsid w:val="00D061C0"/>
    <w:rsid w:val="00D12333"/>
    <w:rsid w:val="00D20CF6"/>
    <w:rsid w:val="00D21E70"/>
    <w:rsid w:val="00D2379E"/>
    <w:rsid w:val="00D27463"/>
    <w:rsid w:val="00D310B5"/>
    <w:rsid w:val="00D37FE8"/>
    <w:rsid w:val="00D400FC"/>
    <w:rsid w:val="00D53EC5"/>
    <w:rsid w:val="00D6401C"/>
    <w:rsid w:val="00D73525"/>
    <w:rsid w:val="00D802DF"/>
    <w:rsid w:val="00D832F8"/>
    <w:rsid w:val="00D84F64"/>
    <w:rsid w:val="00D93C0E"/>
    <w:rsid w:val="00D955EC"/>
    <w:rsid w:val="00D973D4"/>
    <w:rsid w:val="00DA129C"/>
    <w:rsid w:val="00DA20AC"/>
    <w:rsid w:val="00DA7F18"/>
    <w:rsid w:val="00DB54CB"/>
    <w:rsid w:val="00DB5E60"/>
    <w:rsid w:val="00DC0150"/>
    <w:rsid w:val="00DC02F7"/>
    <w:rsid w:val="00DC093E"/>
    <w:rsid w:val="00DC3252"/>
    <w:rsid w:val="00DC41B3"/>
    <w:rsid w:val="00DD2F8C"/>
    <w:rsid w:val="00DE520D"/>
    <w:rsid w:val="00DF0EA5"/>
    <w:rsid w:val="00DF3204"/>
    <w:rsid w:val="00DF7E35"/>
    <w:rsid w:val="00E105B6"/>
    <w:rsid w:val="00E15E41"/>
    <w:rsid w:val="00E209A7"/>
    <w:rsid w:val="00E271DD"/>
    <w:rsid w:val="00E30E0C"/>
    <w:rsid w:val="00E540F6"/>
    <w:rsid w:val="00E5428A"/>
    <w:rsid w:val="00E57D8F"/>
    <w:rsid w:val="00E61629"/>
    <w:rsid w:val="00E61DCC"/>
    <w:rsid w:val="00E61F7D"/>
    <w:rsid w:val="00E665BF"/>
    <w:rsid w:val="00E706B4"/>
    <w:rsid w:val="00E74F45"/>
    <w:rsid w:val="00E753FF"/>
    <w:rsid w:val="00E80D45"/>
    <w:rsid w:val="00E9016A"/>
    <w:rsid w:val="00E96728"/>
    <w:rsid w:val="00E973DE"/>
    <w:rsid w:val="00E97B0B"/>
    <w:rsid w:val="00EB1987"/>
    <w:rsid w:val="00EB2B47"/>
    <w:rsid w:val="00EC3647"/>
    <w:rsid w:val="00ED0FD5"/>
    <w:rsid w:val="00ED1C9C"/>
    <w:rsid w:val="00ED3C35"/>
    <w:rsid w:val="00EE4000"/>
    <w:rsid w:val="00EE69CD"/>
    <w:rsid w:val="00EF793C"/>
    <w:rsid w:val="00F0387B"/>
    <w:rsid w:val="00F06908"/>
    <w:rsid w:val="00F10FFF"/>
    <w:rsid w:val="00F11C16"/>
    <w:rsid w:val="00F12DEB"/>
    <w:rsid w:val="00F13CF7"/>
    <w:rsid w:val="00F14634"/>
    <w:rsid w:val="00F16D05"/>
    <w:rsid w:val="00F20421"/>
    <w:rsid w:val="00F214E0"/>
    <w:rsid w:val="00F218F1"/>
    <w:rsid w:val="00F255EF"/>
    <w:rsid w:val="00F3083F"/>
    <w:rsid w:val="00F31753"/>
    <w:rsid w:val="00F344F3"/>
    <w:rsid w:val="00F35F13"/>
    <w:rsid w:val="00F42827"/>
    <w:rsid w:val="00F4684B"/>
    <w:rsid w:val="00F52F22"/>
    <w:rsid w:val="00F627E3"/>
    <w:rsid w:val="00F630F4"/>
    <w:rsid w:val="00F6617E"/>
    <w:rsid w:val="00F70C39"/>
    <w:rsid w:val="00F736DE"/>
    <w:rsid w:val="00F76328"/>
    <w:rsid w:val="00F8408D"/>
    <w:rsid w:val="00F84C66"/>
    <w:rsid w:val="00F974DB"/>
    <w:rsid w:val="00FA3A20"/>
    <w:rsid w:val="00FA68BC"/>
    <w:rsid w:val="00FA6E31"/>
    <w:rsid w:val="00FB542C"/>
    <w:rsid w:val="00FC03BA"/>
    <w:rsid w:val="00FC0D26"/>
    <w:rsid w:val="00FC5D62"/>
    <w:rsid w:val="00FD12E5"/>
    <w:rsid w:val="00FD346C"/>
    <w:rsid w:val="00FE1C28"/>
    <w:rsid w:val="00FE6178"/>
    <w:rsid w:val="00FF2A42"/>
    <w:rsid w:val="05C06718"/>
    <w:rsid w:val="087B1A69"/>
    <w:rsid w:val="09552C4D"/>
    <w:rsid w:val="0E0D6D95"/>
    <w:rsid w:val="0F04636C"/>
    <w:rsid w:val="106E23DA"/>
    <w:rsid w:val="13CB7D4D"/>
    <w:rsid w:val="161A5D33"/>
    <w:rsid w:val="1AB74158"/>
    <w:rsid w:val="1C325EFE"/>
    <w:rsid w:val="1CE408BC"/>
    <w:rsid w:val="20033340"/>
    <w:rsid w:val="20D7326B"/>
    <w:rsid w:val="215814FB"/>
    <w:rsid w:val="23B505B8"/>
    <w:rsid w:val="24F04B63"/>
    <w:rsid w:val="2B9C47D8"/>
    <w:rsid w:val="2CAE1611"/>
    <w:rsid w:val="2F4A3A1B"/>
    <w:rsid w:val="2F8B5F75"/>
    <w:rsid w:val="357E6E86"/>
    <w:rsid w:val="36EC705D"/>
    <w:rsid w:val="3A903417"/>
    <w:rsid w:val="3F6A2EF0"/>
    <w:rsid w:val="3FD43D46"/>
    <w:rsid w:val="3FDD532B"/>
    <w:rsid w:val="44660FC5"/>
    <w:rsid w:val="4579640D"/>
    <w:rsid w:val="45CC4AB1"/>
    <w:rsid w:val="474B660B"/>
    <w:rsid w:val="48EB2885"/>
    <w:rsid w:val="4974689F"/>
    <w:rsid w:val="4AF2379B"/>
    <w:rsid w:val="4CBC1316"/>
    <w:rsid w:val="4CDE0A07"/>
    <w:rsid w:val="4D5142BC"/>
    <w:rsid w:val="4E0D16C0"/>
    <w:rsid w:val="4F8B76F2"/>
    <w:rsid w:val="4FC71BB7"/>
    <w:rsid w:val="518C394D"/>
    <w:rsid w:val="52880F6A"/>
    <w:rsid w:val="55BD70A7"/>
    <w:rsid w:val="58F80A91"/>
    <w:rsid w:val="59D65B0A"/>
    <w:rsid w:val="5BD57EDE"/>
    <w:rsid w:val="5ECA1DDD"/>
    <w:rsid w:val="5EE460D0"/>
    <w:rsid w:val="5F7A14FB"/>
    <w:rsid w:val="5F81256F"/>
    <w:rsid w:val="6234471E"/>
    <w:rsid w:val="666629E6"/>
    <w:rsid w:val="68EF1608"/>
    <w:rsid w:val="701C2B16"/>
    <w:rsid w:val="7403724C"/>
    <w:rsid w:val="76045DFB"/>
    <w:rsid w:val="79065584"/>
    <w:rsid w:val="79E53DCB"/>
    <w:rsid w:val="7A2D40F5"/>
    <w:rsid w:val="7A6D3E5A"/>
    <w:rsid w:val="7BE2262C"/>
    <w:rsid w:val="7D1C5688"/>
    <w:rsid w:val="7D500CA0"/>
    <w:rsid w:val="7EC472C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99" w:semiHidden="0" w:name="annotation reference"/>
    <w:lsdException w:uiPriority="0" w:name="line number"/>
    <w:lsdException w:uiPriority="0" w:name="page number"/>
    <w:lsdException w:uiPriority="0" w:name="endnote reference"/>
    <w:lsdException w:unhideWhenUsed="0" w:uiPriority="0" w:semiHidden="0" w:name="endnote text"/>
    <w:lsdException w:uiPriority="0" w:name="table of authorities"/>
    <w:lsdException w:uiPriority="0" w:name="macro"/>
    <w:lsdException w:unhideWhenUsed="0" w:uiPriority="0" w:semiHidden="0" w:name="toa heading"/>
    <w:lsdException w:unhideWhenUsed="0" w:uiPriority="0" w:semiHidden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iPriority="0" w:name="HTML Preformatted"/>
    <w:lsdException w:qFormat="1" w:unhideWhenUsed="0" w:uiPriority="0" w:semiHidden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Lines="50" w:afterLines="50" w:line="360" w:lineRule="auto"/>
      <w:ind w:firstLine="480" w:firstLineChars="200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pageBreakBefore/>
      <w:numPr>
        <w:ilvl w:val="0"/>
        <w:numId w:val="1"/>
      </w:numPr>
      <w:tabs>
        <w:tab w:val="left" w:pos="1440"/>
      </w:tabs>
      <w:spacing w:before="340" w:after="330" w:line="578" w:lineRule="auto"/>
      <w:jc w:val="center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widowControl w:val="0"/>
      <w:numPr>
        <w:ilvl w:val="1"/>
        <w:numId w:val="1"/>
      </w:numPr>
      <w:tabs>
        <w:tab w:val="left" w:pos="576"/>
        <w:tab w:val="left" w:pos="1440"/>
      </w:tabs>
      <w:spacing w:before="260" w:afterLines="50" w:line="416" w:lineRule="auto"/>
      <w:jc w:val="both"/>
      <w:outlineLvl w:val="1"/>
    </w:pPr>
    <w:rPr>
      <w:rFonts w:ascii="Times New Roman" w:hAnsi="Times New Roman" w:eastAsia="宋体" w:cs="Times New Roman"/>
      <w:b/>
      <w:bCs/>
      <w:sz w:val="30"/>
      <w:szCs w:val="30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720"/>
        <w:tab w:val="left" w:pos="1440"/>
      </w:tabs>
      <w:spacing w:before="260" w:after="260" w:line="415" w:lineRule="auto"/>
      <w:outlineLvl w:val="2"/>
    </w:pPr>
    <w:rPr>
      <w:rFonts w:ascii="Times New Roman" w:hAnsi="Times New Roman" w:eastAsia="宋体" w:cs="Times New Roman"/>
      <w:b/>
      <w:bCs/>
      <w:sz w:val="30"/>
      <w:szCs w:val="30"/>
      <w:lang w:val="en-US" w:eastAsia="zh-CN" w:bidi="ar-SA"/>
    </w:rPr>
  </w:style>
  <w:style w:type="paragraph" w:styleId="5">
    <w:name w:val="heading 4"/>
    <w:basedOn w:val="2"/>
    <w:next w:val="1"/>
    <w:link w:val="45"/>
    <w:qFormat/>
    <w:uiPriority w:val="0"/>
    <w:pPr>
      <w:keepLines w:val="0"/>
      <w:pageBreakBefore w:val="0"/>
      <w:widowControl w:val="0"/>
      <w:numPr>
        <w:ilvl w:val="3"/>
      </w:numPr>
      <w:tabs>
        <w:tab w:val="left" w:pos="1106"/>
        <w:tab w:val="clear" w:pos="1440"/>
      </w:tabs>
      <w:spacing w:before="120" w:after="60" w:line="360" w:lineRule="auto"/>
      <w:jc w:val="left"/>
      <w:outlineLvl w:val="3"/>
    </w:pPr>
    <w:rPr>
      <w:rFonts w:ascii="宋体"/>
      <w:bCs w:val="0"/>
      <w:snapToGrid w:val="0"/>
      <w:kern w:val="0"/>
      <w:sz w:val="21"/>
      <w:szCs w:val="21"/>
    </w:rPr>
  </w:style>
  <w:style w:type="paragraph" w:styleId="6">
    <w:name w:val="heading 5"/>
    <w:basedOn w:val="1"/>
    <w:next w:val="1"/>
    <w:link w:val="47"/>
    <w:qFormat/>
    <w:uiPriority w:val="0"/>
    <w:pPr>
      <w:numPr>
        <w:ilvl w:val="4"/>
        <w:numId w:val="1"/>
      </w:numPr>
      <w:spacing w:beforeLines="0" w:afterLines="0"/>
      <w:ind w:firstLine="0" w:firstLineChars="0"/>
      <w:jc w:val="left"/>
      <w:outlineLvl w:val="4"/>
    </w:pPr>
    <w:rPr>
      <w:rFonts w:ascii="宋体"/>
      <w:snapToGrid w:val="0"/>
      <w:kern w:val="0"/>
      <w:sz w:val="22"/>
      <w:szCs w:val="21"/>
    </w:rPr>
  </w:style>
  <w:style w:type="paragraph" w:styleId="7">
    <w:name w:val="heading 6"/>
    <w:basedOn w:val="1"/>
    <w:next w:val="1"/>
    <w:link w:val="50"/>
    <w:semiHidden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Cs w:val="24"/>
    </w:rPr>
  </w:style>
  <w:style w:type="paragraph" w:styleId="8">
    <w:name w:val="heading 7"/>
    <w:basedOn w:val="1"/>
    <w:next w:val="1"/>
    <w:link w:val="51"/>
    <w:semiHidden/>
    <w:unhideWhenUsed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52"/>
    <w:semiHidden/>
    <w:unhideWhenUsed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Cs w:val="24"/>
    </w:rPr>
  </w:style>
  <w:style w:type="paragraph" w:styleId="10">
    <w:name w:val="heading 9"/>
    <w:basedOn w:val="1"/>
    <w:next w:val="1"/>
    <w:link w:val="53"/>
    <w:semiHidden/>
    <w:unhideWhenUsed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 w:val="21"/>
      <w:szCs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43"/>
    <w:qFormat/>
    <w:uiPriority w:val="0"/>
    <w:rPr>
      <w:rFonts w:ascii="宋体"/>
      <w:sz w:val="18"/>
      <w:szCs w:val="18"/>
    </w:rPr>
  </w:style>
  <w:style w:type="paragraph" w:styleId="12">
    <w:name w:val="annotation text"/>
    <w:basedOn w:val="1"/>
    <w:link w:val="59"/>
    <w:unhideWhenUsed/>
    <w:qFormat/>
    <w:uiPriority w:val="0"/>
    <w:pPr>
      <w:spacing w:beforeLines="0" w:afterLines="0" w:line="240" w:lineRule="auto"/>
      <w:ind w:firstLine="0" w:firstLineChars="0"/>
      <w:jc w:val="left"/>
    </w:pPr>
    <w:rPr>
      <w:rFonts w:ascii="Calibri" w:hAnsi="Calibri"/>
      <w:kern w:val="0"/>
      <w:sz w:val="20"/>
      <w:szCs w:val="24"/>
    </w:rPr>
  </w:style>
  <w:style w:type="paragraph" w:styleId="13">
    <w:name w:val="toc 3"/>
    <w:basedOn w:val="1"/>
    <w:next w:val="1"/>
    <w:qFormat/>
    <w:uiPriority w:val="39"/>
    <w:pPr>
      <w:ind w:left="420"/>
      <w:jc w:val="left"/>
    </w:pPr>
    <w:rPr>
      <w:rFonts w:ascii="Calibri" w:hAnsi="Calibri" w:cs="Calibri"/>
      <w:i/>
      <w:iCs/>
      <w:sz w:val="20"/>
      <w:szCs w:val="20"/>
    </w:rPr>
  </w:style>
  <w:style w:type="paragraph" w:styleId="14">
    <w:name w:val="Balloon Text"/>
    <w:basedOn w:val="1"/>
    <w:link w:val="44"/>
    <w:qFormat/>
    <w:uiPriority w:val="0"/>
    <w:pPr>
      <w:spacing w:line="240" w:lineRule="auto"/>
    </w:pPr>
    <w:rPr>
      <w:sz w:val="18"/>
      <w:szCs w:val="18"/>
    </w:rPr>
  </w:style>
  <w:style w:type="paragraph" w:styleId="15">
    <w:name w:val="footer"/>
    <w:link w:val="69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16">
    <w:name w:val="header"/>
    <w:link w:val="6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17">
    <w:name w:val="toc 1"/>
    <w:basedOn w:val="1"/>
    <w:next w:val="1"/>
    <w:qFormat/>
    <w:uiPriority w:val="39"/>
    <w:pPr>
      <w:spacing w:before="120" w:after="120"/>
      <w:jc w:val="left"/>
    </w:pPr>
    <w:rPr>
      <w:rFonts w:ascii="Calibri" w:hAnsi="Calibri" w:cs="Calibri"/>
      <w:b/>
      <w:bCs/>
      <w:caps/>
      <w:sz w:val="20"/>
      <w:szCs w:val="20"/>
    </w:rPr>
  </w:style>
  <w:style w:type="paragraph" w:styleId="18">
    <w:name w:val="toc 2"/>
    <w:basedOn w:val="1"/>
    <w:next w:val="1"/>
    <w:qFormat/>
    <w:uiPriority w:val="39"/>
    <w:pPr>
      <w:ind w:left="210"/>
      <w:jc w:val="left"/>
    </w:pPr>
    <w:rPr>
      <w:rFonts w:ascii="Calibri" w:hAnsi="Calibri" w:cs="Calibri"/>
      <w:smallCaps/>
      <w:sz w:val="20"/>
      <w:szCs w:val="20"/>
    </w:rPr>
  </w:style>
  <w:style w:type="paragraph" w:styleId="19">
    <w:name w:val="Normal (Web)"/>
    <w:basedOn w:val="1"/>
    <w:qFormat/>
    <w:uiPriority w:val="99"/>
    <w:pPr>
      <w:spacing w:beforeAutospacing="1" w:afterAutospacing="1"/>
      <w:jc w:val="left"/>
    </w:pPr>
    <w:rPr>
      <w:kern w:val="0"/>
    </w:rPr>
  </w:style>
  <w:style w:type="table" w:styleId="21">
    <w:name w:val="Table Grid"/>
    <w:basedOn w:val="20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FollowedHyperlink"/>
    <w:basedOn w:val="22"/>
    <w:qFormat/>
    <w:uiPriority w:val="0"/>
    <w:rPr>
      <w:color w:val="337AB7"/>
      <w:u w:val="none"/>
    </w:rPr>
  </w:style>
  <w:style w:type="character" w:styleId="25">
    <w:name w:val="HTML Definition"/>
    <w:basedOn w:val="22"/>
    <w:qFormat/>
    <w:uiPriority w:val="0"/>
    <w:rPr>
      <w:b/>
      <w:i/>
      <w:color w:val="FFFFFF"/>
      <w:sz w:val="18"/>
      <w:szCs w:val="18"/>
      <w:shd w:val="clear" w:color="auto" w:fill="777777"/>
      <w:vertAlign w:val="baseline"/>
    </w:rPr>
  </w:style>
  <w:style w:type="character" w:styleId="26">
    <w:name w:val="Hyperlink"/>
    <w:qFormat/>
    <w:uiPriority w:val="99"/>
    <w:rPr>
      <w:color w:val="0000FF"/>
      <w:u w:val="single"/>
    </w:rPr>
  </w:style>
  <w:style w:type="character" w:styleId="27">
    <w:name w:val="HTML Code"/>
    <w:basedOn w:val="22"/>
    <w:qFormat/>
    <w:uiPriority w:val="0"/>
    <w:rPr>
      <w:rFonts w:ascii="Menlo" w:hAnsi="Menlo" w:eastAsia="Menlo" w:cs="Menlo"/>
      <w:color w:val="C7254E"/>
      <w:sz w:val="21"/>
      <w:szCs w:val="21"/>
      <w:shd w:val="clear" w:color="auto" w:fill="F9F2F4"/>
    </w:rPr>
  </w:style>
  <w:style w:type="character" w:styleId="28">
    <w:name w:val="annotation reference"/>
    <w:qFormat/>
    <w:uiPriority w:val="99"/>
    <w:rPr>
      <w:sz w:val="21"/>
      <w:szCs w:val="21"/>
    </w:rPr>
  </w:style>
  <w:style w:type="character" w:styleId="29">
    <w:name w:val="HTML Keyboard"/>
    <w:basedOn w:val="22"/>
    <w:qFormat/>
    <w:uiPriority w:val="0"/>
    <w:rPr>
      <w:rFonts w:hint="default" w:ascii="Menlo" w:hAnsi="Menlo" w:eastAsia="Menlo" w:cs="Menlo"/>
      <w:color w:val="FFFFFF"/>
      <w:sz w:val="21"/>
      <w:szCs w:val="21"/>
      <w:shd w:val="clear" w:color="auto" w:fill="333333"/>
    </w:rPr>
  </w:style>
  <w:style w:type="character" w:styleId="30">
    <w:name w:val="HTML Sample"/>
    <w:basedOn w:val="22"/>
    <w:qFormat/>
    <w:uiPriority w:val="0"/>
    <w:rPr>
      <w:rFonts w:hint="default" w:ascii="Menlo" w:hAnsi="Menlo" w:eastAsia="Menlo" w:cs="Menlo"/>
      <w:sz w:val="21"/>
      <w:szCs w:val="21"/>
    </w:rPr>
  </w:style>
  <w:style w:type="paragraph" w:customStyle="1" w:styleId="31">
    <w:name w:val="封面标题"/>
    <w:next w:val="1"/>
    <w:qFormat/>
    <w:uiPriority w:val="0"/>
    <w:pPr>
      <w:spacing w:before="163" w:after="163"/>
      <w:jc w:val="center"/>
    </w:pPr>
    <w:rPr>
      <w:rFonts w:ascii="Times New Roman" w:hAnsi="Times New Roman" w:eastAsia="黑体" w:cs="Times New Roman"/>
      <w:b/>
      <w:kern w:val="2"/>
      <w:sz w:val="44"/>
      <w:szCs w:val="22"/>
      <w:lang w:val="en-US" w:eastAsia="zh-CN" w:bidi="ar-SA"/>
    </w:rPr>
  </w:style>
  <w:style w:type="paragraph" w:customStyle="1" w:styleId="32">
    <w:name w:val="表格正文-中间对齐"/>
    <w:qFormat/>
    <w:uiPriority w:val="0"/>
    <w:pPr>
      <w:jc w:val="center"/>
    </w:pPr>
    <w:rPr>
      <w:rFonts w:ascii="Times New Roman" w:hAnsi="Times New Roman" w:eastAsia="宋体" w:cs="宋体"/>
      <w:sz w:val="21"/>
      <w:szCs w:val="22"/>
      <w:lang w:val="en-US" w:eastAsia="zh-CN" w:bidi="ar-SA"/>
    </w:rPr>
  </w:style>
  <w:style w:type="paragraph" w:customStyle="1" w:styleId="33">
    <w:name w:val="正文加粗无缩进"/>
    <w:next w:val="1"/>
    <w:qFormat/>
    <w:uiPriority w:val="0"/>
    <w:pPr>
      <w:spacing w:beforeLines="50" w:afterLines="50" w:line="360" w:lineRule="auto"/>
    </w:pPr>
    <w:rPr>
      <w:rFonts w:ascii="Times New Roman" w:hAnsi="Times New Roman" w:eastAsiaTheme="minorEastAsia" w:cstheme="minorBidi"/>
      <w:b/>
      <w:kern w:val="2"/>
      <w:sz w:val="24"/>
      <w:szCs w:val="22"/>
      <w:lang w:val="en-US" w:eastAsia="zh-CN" w:bidi="ar-SA"/>
    </w:rPr>
  </w:style>
  <w:style w:type="paragraph" w:customStyle="1" w:styleId="34">
    <w:name w:val="表格标题栏"/>
    <w:qFormat/>
    <w:uiPriority w:val="0"/>
    <w:pPr>
      <w:jc w:val="center"/>
    </w:pPr>
    <w:rPr>
      <w:rFonts w:ascii="Times New Roman" w:hAnsi="Times New Roman" w:eastAsia="宋体" w:cs="宋体"/>
      <w:b/>
      <w:bCs/>
      <w:kern w:val="2"/>
      <w:sz w:val="21"/>
      <w:szCs w:val="22"/>
      <w:lang w:val="en-US" w:eastAsia="zh-CN" w:bidi="ar-SA"/>
    </w:rPr>
  </w:style>
  <w:style w:type="paragraph" w:customStyle="1" w:styleId="35">
    <w:name w:val="表格正文-左对齐"/>
    <w:qFormat/>
    <w:uiPriority w:val="0"/>
    <w:pPr>
      <w:widowControl w:val="0"/>
      <w:jc w:val="both"/>
    </w:pPr>
    <w:rPr>
      <w:rFonts w:ascii="Times New Roman" w:hAnsi="Times New Roman" w:eastAsia="宋体" w:cs="宋体"/>
      <w:bCs/>
      <w:kern w:val="2"/>
      <w:sz w:val="21"/>
      <w:szCs w:val="22"/>
      <w:lang w:val="en-US" w:eastAsia="zh-CN" w:bidi="ar-SA"/>
    </w:rPr>
  </w:style>
  <w:style w:type="paragraph" w:customStyle="1" w:styleId="36">
    <w:name w:val="段"/>
    <w:qFormat/>
    <w:uiPriority w:val="0"/>
    <w:pPr>
      <w:widowControl w:val="0"/>
      <w:spacing w:line="360" w:lineRule="auto"/>
      <w:ind w:firstLine="200"/>
      <w:jc w:val="both"/>
    </w:pPr>
    <w:rPr>
      <w:rFonts w:ascii="Calibri" w:hAnsi="Calibri" w:eastAsia="Calibri" w:cs="Calibri"/>
      <w:color w:val="000000"/>
      <w:kern w:val="2"/>
      <w:sz w:val="24"/>
      <w:szCs w:val="24"/>
      <w:u w:color="000000"/>
      <w:lang w:val="en-US" w:eastAsia="zh-CN" w:bidi="ar-SA"/>
    </w:rPr>
  </w:style>
  <w:style w:type="character" w:customStyle="1" w:styleId="37">
    <w:name w:val="hour_am"/>
    <w:basedOn w:val="22"/>
    <w:qFormat/>
    <w:uiPriority w:val="0"/>
  </w:style>
  <w:style w:type="character" w:customStyle="1" w:styleId="38">
    <w:name w:val="hover8"/>
    <w:basedOn w:val="22"/>
    <w:qFormat/>
    <w:uiPriority w:val="0"/>
    <w:rPr>
      <w:shd w:val="clear" w:color="auto" w:fill="EEEEEE"/>
    </w:rPr>
  </w:style>
  <w:style w:type="character" w:customStyle="1" w:styleId="39">
    <w:name w:val="old"/>
    <w:basedOn w:val="22"/>
    <w:qFormat/>
    <w:uiPriority w:val="0"/>
    <w:rPr>
      <w:color w:val="999999"/>
    </w:rPr>
  </w:style>
  <w:style w:type="character" w:customStyle="1" w:styleId="40">
    <w:name w:val="glyphicon2"/>
    <w:basedOn w:val="22"/>
    <w:qFormat/>
    <w:uiPriority w:val="0"/>
  </w:style>
  <w:style w:type="character" w:customStyle="1" w:styleId="41">
    <w:name w:val="hour_pm"/>
    <w:basedOn w:val="22"/>
    <w:qFormat/>
    <w:uiPriority w:val="0"/>
  </w:style>
  <w:style w:type="character" w:customStyle="1" w:styleId="42">
    <w:name w:val="hover6"/>
    <w:basedOn w:val="22"/>
    <w:qFormat/>
    <w:uiPriority w:val="0"/>
    <w:rPr>
      <w:shd w:val="clear" w:color="auto" w:fill="EEEEEE"/>
    </w:rPr>
  </w:style>
  <w:style w:type="character" w:customStyle="1" w:styleId="43">
    <w:name w:val="文档结构图 字符"/>
    <w:basedOn w:val="22"/>
    <w:link w:val="11"/>
    <w:qFormat/>
    <w:uiPriority w:val="0"/>
    <w:rPr>
      <w:rFonts w:ascii="宋体"/>
      <w:kern w:val="2"/>
      <w:sz w:val="18"/>
      <w:szCs w:val="18"/>
    </w:rPr>
  </w:style>
  <w:style w:type="character" w:customStyle="1" w:styleId="44">
    <w:name w:val="批注框文本 字符"/>
    <w:basedOn w:val="22"/>
    <w:link w:val="14"/>
    <w:qFormat/>
    <w:uiPriority w:val="0"/>
    <w:rPr>
      <w:kern w:val="2"/>
      <w:sz w:val="18"/>
      <w:szCs w:val="18"/>
    </w:rPr>
  </w:style>
  <w:style w:type="character" w:customStyle="1" w:styleId="45">
    <w:name w:val="标题 4 字符"/>
    <w:basedOn w:val="22"/>
    <w:link w:val="5"/>
    <w:qFormat/>
    <w:uiPriority w:val="0"/>
    <w:rPr>
      <w:rFonts w:ascii="宋体"/>
      <w:b/>
      <w:snapToGrid w:val="0"/>
      <w:sz w:val="21"/>
      <w:szCs w:val="21"/>
    </w:rPr>
  </w:style>
  <w:style w:type="paragraph" w:styleId="46">
    <w:name w:val="List Paragraph"/>
    <w:basedOn w:val="1"/>
    <w:unhideWhenUsed/>
    <w:qFormat/>
    <w:uiPriority w:val="99"/>
    <w:pPr>
      <w:ind w:firstLine="420"/>
    </w:pPr>
  </w:style>
  <w:style w:type="character" w:customStyle="1" w:styleId="47">
    <w:name w:val="标题 5 字符"/>
    <w:basedOn w:val="22"/>
    <w:link w:val="6"/>
    <w:qFormat/>
    <w:uiPriority w:val="0"/>
    <w:rPr>
      <w:rFonts w:ascii="宋体"/>
      <w:snapToGrid w:val="0"/>
      <w:sz w:val="22"/>
      <w:szCs w:val="21"/>
    </w:rPr>
  </w:style>
  <w:style w:type="paragraph" w:customStyle="1" w:styleId="48">
    <w:name w:val="表正文中"/>
    <w:basedOn w:val="1"/>
    <w:link w:val="49"/>
    <w:qFormat/>
    <w:uiPriority w:val="0"/>
    <w:pPr>
      <w:spacing w:beforeLines="20" w:afterLines="20" w:line="240" w:lineRule="auto"/>
      <w:ind w:left="840" w:firstLine="0" w:firstLineChars="0"/>
      <w:jc w:val="center"/>
    </w:pPr>
    <w:rPr>
      <w:sz w:val="21"/>
    </w:rPr>
  </w:style>
  <w:style w:type="character" w:customStyle="1" w:styleId="49">
    <w:name w:val="表正文中 Char"/>
    <w:link w:val="48"/>
    <w:qFormat/>
    <w:uiPriority w:val="0"/>
    <w:rPr>
      <w:kern w:val="2"/>
      <w:sz w:val="21"/>
      <w:szCs w:val="22"/>
    </w:rPr>
  </w:style>
  <w:style w:type="character" w:customStyle="1" w:styleId="50">
    <w:name w:val="标题 6 字符"/>
    <w:basedOn w:val="22"/>
    <w:link w:val="7"/>
    <w:semiHidden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51">
    <w:name w:val="标题 7 字符"/>
    <w:basedOn w:val="22"/>
    <w:link w:val="8"/>
    <w:semiHidden/>
    <w:qFormat/>
    <w:uiPriority w:val="0"/>
    <w:rPr>
      <w:b/>
      <w:bCs/>
      <w:kern w:val="2"/>
      <w:sz w:val="24"/>
      <w:szCs w:val="24"/>
    </w:rPr>
  </w:style>
  <w:style w:type="character" w:customStyle="1" w:styleId="52">
    <w:name w:val="标题 8 字符"/>
    <w:basedOn w:val="22"/>
    <w:link w:val="9"/>
    <w:semiHidden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53">
    <w:name w:val="标题 9 字符"/>
    <w:basedOn w:val="22"/>
    <w:link w:val="10"/>
    <w:semiHidden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  <w:style w:type="paragraph" w:customStyle="1" w:styleId="54">
    <w:name w:val="表标题"/>
    <w:basedOn w:val="1"/>
    <w:link w:val="55"/>
    <w:qFormat/>
    <w:uiPriority w:val="0"/>
    <w:pPr>
      <w:widowControl/>
      <w:adjustRightInd w:val="0"/>
      <w:snapToGrid w:val="0"/>
      <w:spacing w:beforeLines="20" w:afterLines="20" w:line="240" w:lineRule="auto"/>
      <w:ind w:firstLine="0" w:firstLineChars="0"/>
      <w:jc w:val="center"/>
    </w:pPr>
    <w:rPr>
      <w:rFonts w:ascii="宋体" w:hAnsi="宋体"/>
      <w:b/>
      <w:sz w:val="21"/>
      <w:szCs w:val="24"/>
    </w:rPr>
  </w:style>
  <w:style w:type="character" w:customStyle="1" w:styleId="55">
    <w:name w:val="表标题 Char"/>
    <w:link w:val="54"/>
    <w:qFormat/>
    <w:uiPriority w:val="0"/>
    <w:rPr>
      <w:rFonts w:ascii="宋体" w:hAnsi="宋体"/>
      <w:b/>
      <w:kern w:val="2"/>
      <w:sz w:val="21"/>
      <w:szCs w:val="24"/>
    </w:rPr>
  </w:style>
  <w:style w:type="paragraph" w:customStyle="1" w:styleId="56">
    <w:name w:val="需求正文"/>
    <w:basedOn w:val="1"/>
    <w:link w:val="57"/>
    <w:qFormat/>
    <w:uiPriority w:val="0"/>
    <w:pPr>
      <w:spacing w:beforeLines="0" w:afterLines="0" w:line="240" w:lineRule="auto"/>
      <w:ind w:firstLine="420" w:firstLineChars="0"/>
    </w:pPr>
    <w:rPr>
      <w:rFonts w:ascii="Arial" w:hAnsi="Arial"/>
      <w:sz w:val="21"/>
    </w:rPr>
  </w:style>
  <w:style w:type="character" w:customStyle="1" w:styleId="57">
    <w:name w:val="需求正文 Char"/>
    <w:link w:val="56"/>
    <w:qFormat/>
    <w:uiPriority w:val="0"/>
    <w:rPr>
      <w:rFonts w:ascii="Arial" w:hAnsi="Arial"/>
      <w:kern w:val="2"/>
      <w:sz w:val="21"/>
      <w:szCs w:val="22"/>
    </w:rPr>
  </w:style>
  <w:style w:type="character" w:customStyle="1" w:styleId="58">
    <w:name w:val="批注文字 Char"/>
    <w:basedOn w:val="22"/>
    <w:qFormat/>
    <w:uiPriority w:val="0"/>
    <w:rPr>
      <w:kern w:val="2"/>
      <w:sz w:val="24"/>
      <w:szCs w:val="22"/>
    </w:rPr>
  </w:style>
  <w:style w:type="character" w:customStyle="1" w:styleId="59">
    <w:name w:val="批注文字 字符"/>
    <w:link w:val="12"/>
    <w:qFormat/>
    <w:uiPriority w:val="0"/>
    <w:rPr>
      <w:rFonts w:ascii="Calibri" w:hAnsi="Calibri"/>
      <w:szCs w:val="24"/>
    </w:rPr>
  </w:style>
  <w:style w:type="paragraph" w:customStyle="1" w:styleId="60">
    <w:name w:val="表格列标题"/>
    <w:basedOn w:val="1"/>
    <w:link w:val="61"/>
    <w:qFormat/>
    <w:uiPriority w:val="0"/>
    <w:pPr>
      <w:spacing w:beforeLines="0" w:afterLines="0" w:line="240" w:lineRule="auto"/>
      <w:ind w:firstLine="0" w:firstLineChars="0"/>
      <w:jc w:val="center"/>
    </w:pPr>
    <w:rPr>
      <w:rFonts w:ascii="Arial" w:hAnsi="Arial"/>
      <w:b/>
      <w:kern w:val="0"/>
      <w:sz w:val="18"/>
      <w:szCs w:val="20"/>
    </w:rPr>
  </w:style>
  <w:style w:type="character" w:customStyle="1" w:styleId="61">
    <w:name w:val="表格列标题 Char"/>
    <w:link w:val="60"/>
    <w:qFormat/>
    <w:uiPriority w:val="0"/>
    <w:rPr>
      <w:rFonts w:ascii="Arial" w:hAnsi="Arial"/>
      <w:b/>
      <w:sz w:val="18"/>
    </w:rPr>
  </w:style>
  <w:style w:type="paragraph" w:customStyle="1" w:styleId="62">
    <w:name w:val="表格文字 居中"/>
    <w:basedOn w:val="1"/>
    <w:link w:val="63"/>
    <w:qFormat/>
    <w:uiPriority w:val="0"/>
    <w:pPr>
      <w:spacing w:beforeLines="0" w:afterLines="0" w:line="240" w:lineRule="auto"/>
      <w:ind w:firstLine="0" w:firstLineChars="0"/>
      <w:jc w:val="center"/>
    </w:pPr>
    <w:rPr>
      <w:rFonts w:ascii="Arial" w:hAnsi="Arial"/>
      <w:kern w:val="0"/>
      <w:sz w:val="18"/>
      <w:szCs w:val="20"/>
    </w:rPr>
  </w:style>
  <w:style w:type="character" w:customStyle="1" w:styleId="63">
    <w:name w:val="表格文字 居中 Char"/>
    <w:link w:val="62"/>
    <w:qFormat/>
    <w:uiPriority w:val="0"/>
    <w:rPr>
      <w:rFonts w:ascii="Arial" w:hAnsi="Arial"/>
      <w:sz w:val="18"/>
    </w:rPr>
  </w:style>
  <w:style w:type="paragraph" w:customStyle="1" w:styleId="64">
    <w:name w:val="表格文字 左对齐"/>
    <w:basedOn w:val="1"/>
    <w:link w:val="65"/>
    <w:qFormat/>
    <w:uiPriority w:val="0"/>
    <w:pPr>
      <w:spacing w:beforeLines="0" w:afterLines="0" w:line="240" w:lineRule="auto"/>
      <w:ind w:firstLine="0" w:firstLineChars="0"/>
      <w:jc w:val="left"/>
    </w:pPr>
    <w:rPr>
      <w:rFonts w:ascii="Arial" w:hAnsi="Arial"/>
      <w:kern w:val="0"/>
      <w:sz w:val="18"/>
      <w:szCs w:val="20"/>
    </w:rPr>
  </w:style>
  <w:style w:type="character" w:customStyle="1" w:styleId="65">
    <w:name w:val="表格文字 左对齐 Char"/>
    <w:link w:val="64"/>
    <w:qFormat/>
    <w:uiPriority w:val="0"/>
    <w:rPr>
      <w:rFonts w:ascii="Arial" w:hAnsi="Arial"/>
      <w:sz w:val="18"/>
    </w:rPr>
  </w:style>
  <w:style w:type="paragraph" w:customStyle="1" w:styleId="66">
    <w:name w:val="表格标题"/>
    <w:basedOn w:val="1"/>
    <w:link w:val="67"/>
    <w:qFormat/>
    <w:uiPriority w:val="0"/>
    <w:pPr>
      <w:spacing w:beforeLines="0" w:afterLines="0"/>
      <w:ind w:firstLine="0" w:firstLineChars="0"/>
      <w:jc w:val="center"/>
    </w:pPr>
    <w:rPr>
      <w:rFonts w:ascii="Arial" w:hAnsi="Arial"/>
      <w:b/>
      <w:kern w:val="0"/>
      <w:sz w:val="20"/>
      <w:szCs w:val="20"/>
    </w:rPr>
  </w:style>
  <w:style w:type="character" w:customStyle="1" w:styleId="67">
    <w:name w:val="表格标题 Char"/>
    <w:link w:val="66"/>
    <w:qFormat/>
    <w:locked/>
    <w:uiPriority w:val="0"/>
    <w:rPr>
      <w:rFonts w:ascii="Arial" w:hAnsi="Arial"/>
      <w:b/>
    </w:rPr>
  </w:style>
  <w:style w:type="character" w:customStyle="1" w:styleId="68">
    <w:name w:val="页眉 字符"/>
    <w:link w:val="16"/>
    <w:qFormat/>
    <w:uiPriority w:val="99"/>
    <w:rPr>
      <w:kern w:val="2"/>
      <w:sz w:val="18"/>
      <w:szCs w:val="18"/>
    </w:rPr>
  </w:style>
  <w:style w:type="character" w:customStyle="1" w:styleId="69">
    <w:name w:val="页脚 字符"/>
    <w:link w:val="15"/>
    <w:qFormat/>
    <w:uiPriority w:val="0"/>
    <w:rPr>
      <w:kern w:val="2"/>
      <w:sz w:val="18"/>
      <w:szCs w:val="18"/>
    </w:rPr>
  </w:style>
  <w:style w:type="paragraph" w:customStyle="1" w:styleId="70">
    <w:name w:val="TOC Heading"/>
    <w:basedOn w:val="2"/>
    <w:next w:val="1"/>
    <w:unhideWhenUsed/>
    <w:qFormat/>
    <w:uiPriority w:val="39"/>
    <w:pPr>
      <w:pageBreakBefore w:val="0"/>
      <w:numPr>
        <w:numId w:val="0"/>
      </w:numPr>
      <w:tabs>
        <w:tab w:val="clear" w:pos="1440"/>
      </w:tabs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9A1DD-9CE9-4EDA-BED0-6EAFC511CF7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25</Pages>
  <Words>1812</Words>
  <Characters>2096</Characters>
  <Lines>21</Lines>
  <Paragraphs>6</Paragraphs>
  <TotalTime>1</TotalTime>
  <ScaleCrop>false</ScaleCrop>
  <LinksUpToDate>false</LinksUpToDate>
  <CharactersWithSpaces>2170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酒自斟</cp:lastModifiedBy>
  <dcterms:modified xsi:type="dcterms:W3CDTF">2022-09-02T01:33:23Z</dcterms:modified>
  <cp:revision>483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ACF4D17B448A4A89B4EBE8B97E6F76C7</vt:lpwstr>
  </property>
</Properties>
</file>